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28" w:rsidRPr="00D32248" w:rsidRDefault="00DB5528" w:rsidP="00D32248">
      <w:pPr>
        <w:shd w:val="clear" w:color="auto" w:fill="F9F9F9"/>
        <w:spacing w:after="0" w:line="390" w:lineRule="atLeast"/>
        <w:jc w:val="both"/>
        <w:rPr>
          <w:rFonts w:ascii="Arial" w:eastAsia="Times New Roman" w:hAnsi="Arial" w:cs="Arial"/>
          <w:b/>
          <w:bCs/>
          <w:color w:val="000000"/>
          <w:sz w:val="28"/>
          <w:szCs w:val="28"/>
          <w:lang w:eastAsia="ru-RU"/>
        </w:rPr>
      </w:pPr>
      <w:bookmarkStart w:id="0" w:name="_GoBack"/>
      <w:bookmarkEnd w:id="0"/>
      <w:r w:rsidRPr="00D32248">
        <w:rPr>
          <w:rFonts w:ascii="Istok Web" w:hAnsi="Istok Web"/>
          <w:b/>
          <w:bCs/>
          <w:noProof/>
          <w:color w:val="000000"/>
          <w:sz w:val="28"/>
          <w:szCs w:val="28"/>
          <w:lang w:eastAsia="ru-RU"/>
        </w:rPr>
        <w:drawing>
          <wp:inline distT="0" distB="0" distL="0" distR="0">
            <wp:extent cx="6516094" cy="3074496"/>
            <wp:effectExtent l="19050" t="0" r="0" b="0"/>
            <wp:docPr id="1" name="Рисунок 1" descr="Баннер на сайт 2019-1014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ннер на сайт 2019-10141_15.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1974" cy="3077270"/>
                    </a:xfrm>
                    <a:prstGeom prst="rect">
                      <a:avLst/>
                    </a:prstGeom>
                    <a:noFill/>
                    <a:ln>
                      <a:noFill/>
                    </a:ln>
                  </pic:spPr>
                </pic:pic>
              </a:graphicData>
            </a:graphic>
          </wp:inline>
        </w:drawing>
      </w:r>
    </w:p>
    <w:p w:rsidR="00DB5528" w:rsidRPr="00D32248" w:rsidRDefault="00D3224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На</w:t>
      </w:r>
      <w:r w:rsidR="00DB5528" w:rsidRPr="00D32248">
        <w:rPr>
          <w:rFonts w:eastAsia="Times New Roman" w:cstheme="minorHAnsi"/>
          <w:color w:val="000000"/>
          <w:sz w:val="32"/>
          <w:szCs w:val="32"/>
          <w:lang w:eastAsia="ru-RU"/>
        </w:rPr>
        <w:t xml:space="preserve"> заключительной стадии согласования находится проект постановления Правительства Российской Федерации «О внесении изменений в </w:t>
      </w:r>
      <w:r w:rsidR="00DB5528" w:rsidRPr="000D5676">
        <w:rPr>
          <w:rFonts w:eastAsia="Times New Roman" w:cstheme="minorHAnsi"/>
          <w:color w:val="000000"/>
          <w:sz w:val="32"/>
          <w:szCs w:val="32"/>
          <w:lang w:eastAsia="ru-RU"/>
        </w:rPr>
        <w:t>некоторые</w:t>
      </w:r>
      <w:r w:rsidR="00DB5528" w:rsidRPr="00D32248">
        <w:rPr>
          <w:rFonts w:eastAsia="Times New Roman" w:cstheme="minorHAnsi"/>
          <w:color w:val="000000"/>
          <w:sz w:val="32"/>
          <w:szCs w:val="32"/>
          <w:lang w:eastAsia="ru-RU"/>
        </w:rPr>
        <w:t xml:space="preserve"> акты Правительства Российской Федерации по вопросам определения обязательств потребителей по оплате услуг по передаче электрической энергии с учетом оплаты резервируемой максимальной мощности и взаимодействия субъектов розничных рынков электрической энергии», разработанный Министерством энергетики Российской Федерации. </w:t>
      </w:r>
    </w:p>
    <w:p w:rsidR="00DB5528" w:rsidRPr="00D32248" w:rsidRDefault="00DB552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Указанным постановлением предусматривается введение с 01 июля 2020 года оплаты неиспользуемого резерва присоединенной мощности энергопринимающих устройств в составе услуг по передаче электрической энергии для всех потребителей электроэнергии (кроме населения и приравненных к нему категорий потребителей). </w:t>
      </w:r>
    </w:p>
    <w:p w:rsidR="00D32248" w:rsidRPr="00D32248" w:rsidRDefault="00D32248" w:rsidP="00D32248">
      <w:pPr>
        <w:shd w:val="clear" w:color="auto" w:fill="F9F9F9"/>
        <w:spacing w:after="0" w:line="240" w:lineRule="auto"/>
        <w:ind w:firstLine="567"/>
        <w:jc w:val="both"/>
        <w:rPr>
          <w:rFonts w:cstheme="minorHAnsi"/>
          <w:sz w:val="32"/>
          <w:szCs w:val="32"/>
        </w:rPr>
      </w:pPr>
      <w:r w:rsidRPr="00D32248">
        <w:rPr>
          <w:rFonts w:cstheme="minorHAnsi"/>
          <w:sz w:val="32"/>
          <w:szCs w:val="32"/>
        </w:rPr>
        <w:t>Резервируемая максимальная мощность определяется как положительная разность между максимальной мощностью энергопринимающих устройств потребителя и фактической сетевой мощностью энергопринимающих устройств потребителя (</w:t>
      </w:r>
      <w:r w:rsidRPr="00D32248">
        <w:rPr>
          <w:rFonts w:cstheme="minorHAnsi"/>
          <w:color w:val="000000"/>
          <w:sz w:val="32"/>
          <w:szCs w:val="32"/>
          <w:shd w:val="clear" w:color="auto" w:fill="FFFFFF"/>
        </w:rPr>
        <w:t xml:space="preserve">А проще: Резервируемая максимальная мощность </w:t>
      </w:r>
      <w:r w:rsidR="000D5676" w:rsidRPr="00D32248">
        <w:rPr>
          <w:rFonts w:cstheme="minorHAnsi"/>
          <w:color w:val="000000"/>
          <w:sz w:val="32"/>
          <w:szCs w:val="32"/>
          <w:shd w:val="clear" w:color="auto" w:fill="FFFFFF"/>
        </w:rPr>
        <w:t>— это</w:t>
      </w:r>
      <w:r w:rsidRPr="00D32248">
        <w:rPr>
          <w:rFonts w:cstheme="minorHAnsi"/>
          <w:color w:val="000000"/>
          <w:sz w:val="32"/>
          <w:szCs w:val="32"/>
          <w:shd w:val="clear" w:color="auto" w:fill="FFFFFF"/>
        </w:rPr>
        <w:t xml:space="preserve"> разность между максимальной мощностью и фактической мощностью)</w:t>
      </w:r>
      <w:r w:rsidRPr="00D32248">
        <w:rPr>
          <w:rFonts w:cstheme="minorHAnsi"/>
          <w:sz w:val="32"/>
          <w:szCs w:val="32"/>
        </w:rPr>
        <w:t xml:space="preserve">. </w:t>
      </w:r>
    </w:p>
    <w:p w:rsidR="00D32248" w:rsidRPr="00D32248" w:rsidRDefault="00D3224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cstheme="minorHAnsi"/>
          <w:sz w:val="32"/>
          <w:szCs w:val="32"/>
        </w:rPr>
        <w:t xml:space="preserve">Величина максимальной мощности энергопринимающих устройств определяется в процессе технологического присоединения и указывается в документах о технологическом присоединении, </w:t>
      </w:r>
      <w:r w:rsidRPr="00D32248">
        <w:rPr>
          <w:rFonts w:cstheme="minorHAnsi"/>
          <w:color w:val="000000"/>
          <w:sz w:val="32"/>
          <w:szCs w:val="32"/>
          <w:shd w:val="clear" w:color="auto" w:fill="FFFFFF"/>
        </w:rPr>
        <w:t xml:space="preserve">то есть </w:t>
      </w:r>
      <w:r w:rsidR="000D5676" w:rsidRPr="00D32248">
        <w:rPr>
          <w:rFonts w:cstheme="minorHAnsi"/>
          <w:color w:val="000000"/>
          <w:sz w:val="32"/>
          <w:szCs w:val="32"/>
          <w:shd w:val="clear" w:color="auto" w:fill="FFFFFF"/>
        </w:rPr>
        <w:t>эта та мощность,</w:t>
      </w:r>
      <w:r w:rsidRPr="00D32248">
        <w:rPr>
          <w:rFonts w:cstheme="minorHAnsi"/>
          <w:color w:val="000000"/>
          <w:sz w:val="32"/>
          <w:szCs w:val="32"/>
          <w:shd w:val="clear" w:color="auto" w:fill="FFFFFF"/>
        </w:rPr>
        <w:t xml:space="preserve">которую вам разрешено выбирать из сетей. В пределах которой сетевая организация обязуется оказывать вам услуги. </w:t>
      </w:r>
    </w:p>
    <w:p w:rsidR="00D32248" w:rsidRPr="00D32248" w:rsidRDefault="00D32248" w:rsidP="00D32248">
      <w:pPr>
        <w:autoSpaceDE w:val="0"/>
        <w:autoSpaceDN w:val="0"/>
        <w:adjustRightInd w:val="0"/>
        <w:spacing w:line="240" w:lineRule="auto"/>
        <w:ind w:firstLine="709"/>
        <w:jc w:val="both"/>
        <w:rPr>
          <w:rFonts w:cstheme="minorHAnsi"/>
          <w:sz w:val="32"/>
          <w:szCs w:val="32"/>
        </w:rPr>
      </w:pPr>
      <w:r w:rsidRPr="00D32248">
        <w:rPr>
          <w:rFonts w:cstheme="minorHAnsi"/>
          <w:sz w:val="32"/>
          <w:szCs w:val="32"/>
        </w:rPr>
        <w:lastRenderedPageBreak/>
        <w:t>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сетевая организация определяет величину максимальной мощности энергопринимающих устройств для потребителей услуг по передаче электроэнергии расчетным способом, выбранным сетевой организацией по своему усмотрению из числа расчетных способов, предусмотренных пунктами 76 и 77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32248" w:rsidRDefault="00DB552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Обязанность по оплате неиспользуемого резерва мощности будет возникать у потребителя в случае, если по итогам годового периода объем резерва составлял более 40% от максимальной мощности (при условии, что потребитель не начал потреблять больше электроэнергии, не перераспределил и не отказался от имеющихся резервов в пользу других потребителей). </w:t>
      </w:r>
    </w:p>
    <w:p w:rsidR="00DB5528" w:rsidRPr="00D32248" w:rsidRDefault="00DB552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В соответствии с данными изменениями величина резервируемой максимальной мощности энергопринимающих устройств потребителя будет оказывать существенное влияние на стоимость услуг по передаче электрической энергии. В отдельных случаях изменения повлекут за собой кратное повышение стоимости услуг по передаче электрической энергии. </w:t>
      </w:r>
    </w:p>
    <w:p w:rsidR="00D32248" w:rsidRPr="00D32248" w:rsidRDefault="00DB552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На основании изложенного, в целях исключения резкого роста расходов на оплату услуги по передаче электрической энергии, рекомендуем Вам заблаговременно оценить возможное влияние изменений. </w:t>
      </w:r>
    </w:p>
    <w:p w:rsidR="00DB5528" w:rsidRPr="00D32248" w:rsidRDefault="00DB552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В целях проведения оценки работниками ПАО «Саратовэнерго» могут быть оказаны следующие услуги: </w:t>
      </w:r>
    </w:p>
    <w:p w:rsidR="00DB5528" w:rsidRPr="00D32248" w:rsidRDefault="00DB552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1. Экспертиза режима потребления на основании данных об объёмах потребления и имеющейся документации о технологическом присоединении с целью расчёта прогнозируемой величины увеличения стоимости услуг по передаче электрической энергии для потребителей группы «прочие потребители» в части оплаты максимальной резервируемой мощности. </w:t>
      </w:r>
    </w:p>
    <w:p w:rsidR="00DB5528" w:rsidRPr="00D32248" w:rsidRDefault="00DB5528" w:rsidP="00D32248">
      <w:pPr>
        <w:shd w:val="clear" w:color="auto" w:fill="F9F9F9"/>
        <w:spacing w:after="0"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lastRenderedPageBreak/>
        <w:t xml:space="preserve">2. Организация восстановления утраченных документов о технологическом присоединении, внесения изменений в документы о технологическом присоединении. </w:t>
      </w:r>
    </w:p>
    <w:p w:rsidR="00DB5528" w:rsidRDefault="00DB5528" w:rsidP="00D32248">
      <w:pPr>
        <w:shd w:val="clear" w:color="auto" w:fill="F9F9F9"/>
        <w:spacing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3. Подготовка в интересах потребителя проектов соглашений о перераспределении максимальной мощности в пользу третьих лиц. </w:t>
      </w:r>
    </w:p>
    <w:p w:rsidR="00D32248" w:rsidRDefault="00D32248" w:rsidP="00D32248">
      <w:pPr>
        <w:pStyle w:val="1"/>
        <w:shd w:val="clear" w:color="auto" w:fill="FFFFFF"/>
        <w:spacing w:after="240" w:line="240" w:lineRule="auto"/>
        <w:ind w:firstLine="567"/>
        <w:jc w:val="both"/>
        <w:rPr>
          <w:rFonts w:asciiTheme="minorHAnsi" w:hAnsiTheme="minorHAnsi" w:cstheme="minorHAnsi"/>
          <w:b w:val="0"/>
          <w:bCs w:val="0"/>
          <w:color w:val="F65529"/>
          <w:sz w:val="32"/>
          <w:szCs w:val="32"/>
        </w:rPr>
      </w:pPr>
    </w:p>
    <w:p w:rsidR="00D32248" w:rsidRPr="00D32248" w:rsidRDefault="00D32248" w:rsidP="00D32248">
      <w:pPr>
        <w:pStyle w:val="1"/>
        <w:shd w:val="clear" w:color="auto" w:fill="FFFFFF"/>
        <w:spacing w:after="240" w:line="240" w:lineRule="auto"/>
        <w:ind w:firstLine="567"/>
        <w:jc w:val="both"/>
        <w:rPr>
          <w:rFonts w:asciiTheme="minorHAnsi" w:hAnsiTheme="minorHAnsi" w:cstheme="minorHAnsi"/>
          <w:bCs w:val="0"/>
          <w:i/>
          <w:color w:val="auto"/>
          <w:sz w:val="32"/>
          <w:szCs w:val="32"/>
          <w:u w:val="single"/>
        </w:rPr>
      </w:pPr>
      <w:r w:rsidRPr="00D32248">
        <w:rPr>
          <w:rFonts w:asciiTheme="minorHAnsi" w:hAnsiTheme="minorHAnsi" w:cstheme="minorHAnsi"/>
          <w:bCs w:val="0"/>
          <w:i/>
          <w:color w:val="auto"/>
          <w:sz w:val="32"/>
          <w:szCs w:val="32"/>
          <w:u w:val="single"/>
        </w:rPr>
        <w:t>Как рассчитывается резервируемая максимальная мощность?</w:t>
      </w:r>
    </w:p>
    <w:p w:rsidR="00D32248" w:rsidRPr="00D32248" w:rsidRDefault="00D32248" w:rsidP="00D32248">
      <w:p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 xml:space="preserve">По </w:t>
      </w:r>
      <w:proofErr w:type="spellStart"/>
      <w:r w:rsidRPr="00D32248">
        <w:rPr>
          <w:rFonts w:eastAsia="Times New Roman" w:cstheme="minorHAnsi"/>
          <w:color w:val="000000"/>
          <w:sz w:val="32"/>
          <w:szCs w:val="32"/>
          <w:lang w:eastAsia="ru-RU"/>
        </w:rPr>
        <w:t>нормативке</w:t>
      </w:r>
      <w:proofErr w:type="spellEnd"/>
      <w:r w:rsidRPr="00D32248">
        <w:rPr>
          <w:rFonts w:eastAsia="Times New Roman" w:cstheme="minorHAnsi"/>
          <w:color w:val="000000"/>
          <w:sz w:val="32"/>
          <w:szCs w:val="32"/>
          <w:lang w:eastAsia="ru-RU"/>
        </w:rPr>
        <w:t xml:space="preserve"> фактическая мощность определяется так: Мощность, использованная в соответствующем расчетном периоде для определения размера обязательств потребителя по оплате услуг по передаче электрической энергии, принимается равной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D32248" w:rsidRPr="00D32248" w:rsidRDefault="00D32248" w:rsidP="00D32248">
      <w:p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Если это перевести на простой язык, то фактическая мощность, рассчитывается как среднее значение из максимальных значений в часы пиковой нагрузки (в часы СО) за каждый рабочий день </w:t>
      </w:r>
    </w:p>
    <w:p w:rsidR="00D32248" w:rsidRPr="00D32248" w:rsidRDefault="00D32248" w:rsidP="00D32248">
      <w:p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Фактическая мощность для расчёта величины РММ считается так:</w:t>
      </w:r>
    </w:p>
    <w:p w:rsidR="00D32248" w:rsidRPr="00D32248" w:rsidRDefault="00D32248" w:rsidP="00D32248">
      <w:pPr>
        <w:numPr>
          <w:ilvl w:val="0"/>
          <w:numId w:val="2"/>
        </w:num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берётся собственное почасовое потребление за месяц</w:t>
      </w:r>
    </w:p>
    <w:p w:rsidR="00D32248" w:rsidRPr="00D32248" w:rsidRDefault="00D32248" w:rsidP="00D32248">
      <w:pPr>
        <w:numPr>
          <w:ilvl w:val="0"/>
          <w:numId w:val="2"/>
        </w:num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в каждый рабочий день определяются часы пиковой нагрузки (часы СО)</w:t>
      </w:r>
    </w:p>
    <w:p w:rsidR="00D32248" w:rsidRPr="00D32248" w:rsidRDefault="00D32248" w:rsidP="00D32248">
      <w:pPr>
        <w:numPr>
          <w:ilvl w:val="0"/>
          <w:numId w:val="2"/>
        </w:num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каждый рабочий день из всех часов пиковой нагрузки выбирается максимальное почасовое значение потребления</w:t>
      </w:r>
    </w:p>
    <w:p w:rsidR="00D32248" w:rsidRPr="00D32248" w:rsidRDefault="00D32248" w:rsidP="00D32248">
      <w:pPr>
        <w:numPr>
          <w:ilvl w:val="0"/>
          <w:numId w:val="2"/>
        </w:num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все максимальные значения в рабочие дни за месяц складываются </w:t>
      </w:r>
    </w:p>
    <w:p w:rsidR="00D32248" w:rsidRDefault="00D32248" w:rsidP="00D32248">
      <w:pPr>
        <w:numPr>
          <w:ilvl w:val="0"/>
          <w:numId w:val="2"/>
        </w:numPr>
        <w:shd w:val="clear" w:color="auto" w:fill="FFFFFF"/>
        <w:spacing w:before="100" w:beforeAutospacing="1" w:after="100" w:afterAutospacing="1" w:line="240" w:lineRule="auto"/>
        <w:ind w:firstLine="567"/>
        <w:jc w:val="both"/>
        <w:rPr>
          <w:rFonts w:eastAsia="Times New Roman" w:cstheme="minorHAnsi"/>
          <w:color w:val="000000"/>
          <w:sz w:val="32"/>
          <w:szCs w:val="32"/>
          <w:lang w:eastAsia="ru-RU"/>
        </w:rPr>
      </w:pPr>
      <w:r w:rsidRPr="00D32248">
        <w:rPr>
          <w:rFonts w:eastAsia="Times New Roman" w:cstheme="minorHAnsi"/>
          <w:color w:val="000000"/>
          <w:sz w:val="32"/>
          <w:szCs w:val="32"/>
          <w:lang w:eastAsia="ru-RU"/>
        </w:rPr>
        <w:t>полученная сумма делится на количество рабочих дней в месяце</w:t>
      </w:r>
      <w:r>
        <w:rPr>
          <w:rFonts w:eastAsia="Times New Roman" w:cstheme="minorHAnsi"/>
          <w:color w:val="000000"/>
          <w:sz w:val="32"/>
          <w:szCs w:val="32"/>
          <w:lang w:eastAsia="ru-RU"/>
        </w:rPr>
        <w:t>.</w:t>
      </w:r>
      <w:r w:rsidRPr="00D32248">
        <w:rPr>
          <w:rFonts w:eastAsia="Times New Roman" w:cstheme="minorHAnsi"/>
          <w:color w:val="000000"/>
          <w:sz w:val="32"/>
          <w:szCs w:val="32"/>
          <w:lang w:eastAsia="ru-RU"/>
        </w:rPr>
        <w:t xml:space="preserve"> В итоге получается величина </w:t>
      </w:r>
      <w:proofErr w:type="spellStart"/>
      <w:r w:rsidRPr="00D32248">
        <w:rPr>
          <w:rFonts w:eastAsia="Times New Roman" w:cstheme="minorHAnsi"/>
          <w:color w:val="000000"/>
          <w:sz w:val="32"/>
          <w:szCs w:val="32"/>
          <w:lang w:eastAsia="ru-RU"/>
        </w:rPr>
        <w:t>фактичеcки</w:t>
      </w:r>
      <w:proofErr w:type="spellEnd"/>
      <w:r w:rsidRPr="00D32248">
        <w:rPr>
          <w:rFonts w:eastAsia="Times New Roman" w:cstheme="minorHAnsi"/>
          <w:color w:val="000000"/>
          <w:sz w:val="32"/>
          <w:szCs w:val="32"/>
          <w:lang w:eastAsia="ru-RU"/>
        </w:rPr>
        <w:t xml:space="preserve"> потреблённой мощности. Она то и вычитается из максимальной мощности.</w:t>
      </w:r>
    </w:p>
    <w:p w:rsidR="00C11215" w:rsidRDefault="00C11215" w:rsidP="00D32248">
      <w:pPr>
        <w:shd w:val="clear" w:color="auto" w:fill="F9F9F9"/>
        <w:spacing w:after="0" w:line="264" w:lineRule="atLeast"/>
        <w:jc w:val="both"/>
        <w:outlineLvl w:val="0"/>
        <w:rPr>
          <w:rFonts w:ascii="Arial" w:eastAsia="Times New Roman" w:hAnsi="Arial" w:cs="Arial"/>
          <w:color w:val="000000"/>
          <w:sz w:val="28"/>
          <w:szCs w:val="28"/>
          <w:lang w:eastAsia="ru-RU"/>
        </w:rPr>
      </w:pPr>
    </w:p>
    <w:p w:rsidR="00C11215" w:rsidRDefault="00C11215" w:rsidP="00D32248">
      <w:pPr>
        <w:shd w:val="clear" w:color="auto" w:fill="F9F9F9"/>
        <w:spacing w:after="0" w:line="264" w:lineRule="atLeast"/>
        <w:jc w:val="both"/>
        <w:outlineLvl w:val="0"/>
        <w:rPr>
          <w:rFonts w:ascii="Arial" w:eastAsia="Times New Roman" w:hAnsi="Arial" w:cs="Arial"/>
          <w:color w:val="000000"/>
          <w:sz w:val="28"/>
          <w:szCs w:val="28"/>
          <w:lang w:eastAsia="ru-RU"/>
        </w:rPr>
      </w:pPr>
    </w:p>
    <w:p w:rsidR="00C11215" w:rsidRPr="00C11215" w:rsidRDefault="00C11215" w:rsidP="00D32248">
      <w:pPr>
        <w:shd w:val="clear" w:color="auto" w:fill="F9F9F9"/>
        <w:spacing w:after="0" w:line="264" w:lineRule="atLeast"/>
        <w:jc w:val="both"/>
        <w:outlineLvl w:val="0"/>
        <w:rPr>
          <w:rFonts w:ascii="Arial" w:eastAsia="Times New Roman" w:hAnsi="Arial" w:cs="Arial"/>
          <w:color w:val="000000"/>
          <w:sz w:val="28"/>
          <w:szCs w:val="28"/>
          <w:lang w:eastAsia="ru-RU"/>
        </w:rPr>
      </w:pPr>
    </w:p>
    <w:sectPr w:rsidR="00C11215" w:rsidRPr="00C11215" w:rsidSect="00D32248">
      <w:pgSz w:w="11906" w:h="16838"/>
      <w:pgMar w:top="1134"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stok Web">
    <w:altName w:val="Calibri"/>
    <w:charset w:val="00"/>
    <w:family w:val="auto"/>
    <w:pitch w:val="default"/>
    <w:sig w:usb0="00000000" w:usb1="00000000" w:usb2="00000000" w:usb3="00000000" w:csb0="00000000" w:csb1="00000000"/>
  </w:font>
  <w:font w:name="Roboto Condensed">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B0148"/>
    <w:multiLevelType w:val="multilevel"/>
    <w:tmpl w:val="B6F4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66B48"/>
    <w:multiLevelType w:val="multilevel"/>
    <w:tmpl w:val="F868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B5528"/>
    <w:rsid w:val="000D5676"/>
    <w:rsid w:val="00152105"/>
    <w:rsid w:val="0064297F"/>
    <w:rsid w:val="006B004D"/>
    <w:rsid w:val="00813DBB"/>
    <w:rsid w:val="00861477"/>
    <w:rsid w:val="00872BDB"/>
    <w:rsid w:val="009925BB"/>
    <w:rsid w:val="009E0FA5"/>
    <w:rsid w:val="00A66B4D"/>
    <w:rsid w:val="00BD4525"/>
    <w:rsid w:val="00C11215"/>
    <w:rsid w:val="00CE5741"/>
    <w:rsid w:val="00D32248"/>
    <w:rsid w:val="00DB5528"/>
    <w:rsid w:val="00F25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41"/>
  </w:style>
  <w:style w:type="paragraph" w:styleId="1">
    <w:name w:val="heading 1"/>
    <w:basedOn w:val="a"/>
    <w:link w:val="10"/>
    <w:uiPriority w:val="9"/>
    <w:qFormat/>
    <w:rsid w:val="00861477"/>
    <w:pPr>
      <w:spacing w:after="0" w:line="264" w:lineRule="atLeast"/>
      <w:outlineLvl w:val="0"/>
    </w:pPr>
    <w:rPr>
      <w:rFonts w:ascii="Istok Web" w:eastAsia="Times New Roman" w:hAnsi="Istok Web" w:cs="Times New Roman"/>
      <w:b/>
      <w:bCs/>
      <w:caps/>
      <w:color w:val="000000"/>
      <w:spacing w:val="15"/>
      <w:kern w:val="36"/>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52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1477"/>
    <w:rPr>
      <w:rFonts w:ascii="Istok Web" w:eastAsia="Times New Roman" w:hAnsi="Istok Web" w:cs="Times New Roman"/>
      <w:b/>
      <w:bCs/>
      <w:caps/>
      <w:color w:val="000000"/>
      <w:spacing w:val="15"/>
      <w:kern w:val="36"/>
      <w:sz w:val="45"/>
      <w:szCs w:val="45"/>
      <w:lang w:eastAsia="ru-RU"/>
    </w:rPr>
  </w:style>
  <w:style w:type="character" w:styleId="a4">
    <w:name w:val="Hyperlink"/>
    <w:basedOn w:val="a0"/>
    <w:uiPriority w:val="99"/>
    <w:semiHidden/>
    <w:unhideWhenUsed/>
    <w:rsid w:val="00861477"/>
    <w:rPr>
      <w:rFonts w:ascii="Roboto Condensed" w:hAnsi="Roboto Condensed" w:hint="default"/>
      <w:b/>
      <w:bCs/>
      <w:caps/>
      <w:strike w:val="0"/>
      <w:dstrike w:val="0"/>
      <w:vanish w:val="0"/>
      <w:webHidden w:val="0"/>
      <w:color w:val="FFFFFF"/>
      <w:sz w:val="21"/>
      <w:szCs w:val="21"/>
      <w:u w:val="none"/>
      <w:effect w:val="none"/>
      <w:specVanish w:val="0"/>
    </w:rPr>
  </w:style>
  <w:style w:type="character" w:styleId="a5">
    <w:name w:val="Strong"/>
    <w:basedOn w:val="a0"/>
    <w:uiPriority w:val="22"/>
    <w:qFormat/>
    <w:rsid w:val="00861477"/>
    <w:rPr>
      <w:b/>
      <w:bCs/>
    </w:rPr>
  </w:style>
  <w:style w:type="character" w:customStyle="1" w:styleId="breadcrumbsdel">
    <w:name w:val="breadcrumbs__del"/>
    <w:basedOn w:val="a0"/>
    <w:rsid w:val="00861477"/>
  </w:style>
  <w:style w:type="paragraph" w:styleId="a6">
    <w:name w:val="Balloon Text"/>
    <w:basedOn w:val="a"/>
    <w:link w:val="a7"/>
    <w:uiPriority w:val="99"/>
    <w:semiHidden/>
    <w:unhideWhenUsed/>
    <w:rsid w:val="00D32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76848">
      <w:bodyDiv w:val="1"/>
      <w:marLeft w:val="0"/>
      <w:marRight w:val="0"/>
      <w:marTop w:val="0"/>
      <w:marBottom w:val="0"/>
      <w:divBdr>
        <w:top w:val="none" w:sz="0" w:space="0" w:color="auto"/>
        <w:left w:val="none" w:sz="0" w:space="0" w:color="auto"/>
        <w:bottom w:val="none" w:sz="0" w:space="0" w:color="auto"/>
        <w:right w:val="none" w:sz="0" w:space="0" w:color="auto"/>
      </w:divBdr>
    </w:div>
    <w:div w:id="163058591">
      <w:bodyDiv w:val="1"/>
      <w:marLeft w:val="0"/>
      <w:marRight w:val="0"/>
      <w:marTop w:val="0"/>
      <w:marBottom w:val="0"/>
      <w:divBdr>
        <w:top w:val="none" w:sz="0" w:space="0" w:color="auto"/>
        <w:left w:val="none" w:sz="0" w:space="0" w:color="auto"/>
        <w:bottom w:val="none" w:sz="0" w:space="0" w:color="auto"/>
        <w:right w:val="none" w:sz="0" w:space="0" w:color="auto"/>
      </w:divBdr>
    </w:div>
    <w:div w:id="259065810">
      <w:bodyDiv w:val="1"/>
      <w:marLeft w:val="0"/>
      <w:marRight w:val="0"/>
      <w:marTop w:val="0"/>
      <w:marBottom w:val="0"/>
      <w:divBdr>
        <w:top w:val="none" w:sz="0" w:space="0" w:color="auto"/>
        <w:left w:val="none" w:sz="0" w:space="0" w:color="auto"/>
        <w:bottom w:val="none" w:sz="0" w:space="0" w:color="auto"/>
        <w:right w:val="none" w:sz="0" w:space="0" w:color="auto"/>
      </w:divBdr>
      <w:divsChild>
        <w:div w:id="604003064">
          <w:marLeft w:val="0"/>
          <w:marRight w:val="0"/>
          <w:marTop w:val="0"/>
          <w:marBottom w:val="0"/>
          <w:divBdr>
            <w:top w:val="none" w:sz="0" w:space="0" w:color="auto"/>
            <w:left w:val="none" w:sz="0" w:space="0" w:color="auto"/>
            <w:bottom w:val="none" w:sz="0" w:space="0" w:color="auto"/>
            <w:right w:val="none" w:sz="0" w:space="0" w:color="auto"/>
          </w:divBdr>
          <w:divsChild>
            <w:div w:id="635452601">
              <w:marLeft w:val="0"/>
              <w:marRight w:val="0"/>
              <w:marTop w:val="0"/>
              <w:marBottom w:val="0"/>
              <w:divBdr>
                <w:top w:val="none" w:sz="0" w:space="0" w:color="auto"/>
                <w:left w:val="none" w:sz="0" w:space="0" w:color="auto"/>
                <w:bottom w:val="none" w:sz="0" w:space="0" w:color="auto"/>
                <w:right w:val="none" w:sz="0" w:space="0" w:color="auto"/>
              </w:divBdr>
              <w:divsChild>
                <w:div w:id="851258439">
                  <w:marLeft w:val="0"/>
                  <w:marRight w:val="0"/>
                  <w:marTop w:val="1800"/>
                  <w:marBottom w:val="1500"/>
                  <w:divBdr>
                    <w:top w:val="none" w:sz="0" w:space="0" w:color="auto"/>
                    <w:left w:val="none" w:sz="0" w:space="0" w:color="auto"/>
                    <w:bottom w:val="none" w:sz="0" w:space="0" w:color="auto"/>
                    <w:right w:val="none" w:sz="0" w:space="0" w:color="auto"/>
                  </w:divBdr>
                  <w:divsChild>
                    <w:div w:id="3020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35477">
      <w:bodyDiv w:val="1"/>
      <w:marLeft w:val="0"/>
      <w:marRight w:val="0"/>
      <w:marTop w:val="0"/>
      <w:marBottom w:val="0"/>
      <w:divBdr>
        <w:top w:val="none" w:sz="0" w:space="0" w:color="auto"/>
        <w:left w:val="none" w:sz="0" w:space="0" w:color="auto"/>
        <w:bottom w:val="none" w:sz="0" w:space="0" w:color="auto"/>
        <w:right w:val="none" w:sz="0" w:space="0" w:color="auto"/>
      </w:divBdr>
    </w:div>
    <w:div w:id="1477600954">
      <w:bodyDiv w:val="1"/>
      <w:marLeft w:val="0"/>
      <w:marRight w:val="0"/>
      <w:marTop w:val="0"/>
      <w:marBottom w:val="0"/>
      <w:divBdr>
        <w:top w:val="none" w:sz="0" w:space="0" w:color="auto"/>
        <w:left w:val="none" w:sz="0" w:space="0" w:color="auto"/>
        <w:bottom w:val="none" w:sz="0" w:space="0" w:color="auto"/>
        <w:right w:val="none" w:sz="0" w:space="0" w:color="auto"/>
      </w:divBdr>
    </w:div>
    <w:div w:id="2098403234">
      <w:bodyDiv w:val="1"/>
      <w:marLeft w:val="0"/>
      <w:marRight w:val="0"/>
      <w:marTop w:val="0"/>
      <w:marBottom w:val="0"/>
      <w:divBdr>
        <w:top w:val="none" w:sz="0" w:space="0" w:color="auto"/>
        <w:left w:val="none" w:sz="0" w:space="0" w:color="auto"/>
        <w:bottom w:val="none" w:sz="0" w:space="0" w:color="auto"/>
        <w:right w:val="none" w:sz="0" w:space="0" w:color="auto"/>
      </w:divBdr>
      <w:divsChild>
        <w:div w:id="2020307886">
          <w:marLeft w:val="0"/>
          <w:marRight w:val="0"/>
          <w:marTop w:val="0"/>
          <w:marBottom w:val="0"/>
          <w:divBdr>
            <w:top w:val="none" w:sz="0" w:space="0" w:color="auto"/>
            <w:left w:val="none" w:sz="0" w:space="0" w:color="auto"/>
            <w:bottom w:val="none" w:sz="0" w:space="0" w:color="auto"/>
            <w:right w:val="none" w:sz="0" w:space="0" w:color="auto"/>
          </w:divBdr>
          <w:divsChild>
            <w:div w:id="1898391945">
              <w:marLeft w:val="0"/>
              <w:marRight w:val="0"/>
              <w:marTop w:val="0"/>
              <w:marBottom w:val="0"/>
              <w:divBdr>
                <w:top w:val="none" w:sz="0" w:space="0" w:color="auto"/>
                <w:left w:val="none" w:sz="0" w:space="0" w:color="auto"/>
                <w:bottom w:val="none" w:sz="0" w:space="0" w:color="auto"/>
                <w:right w:val="none" w:sz="0" w:space="0" w:color="auto"/>
              </w:divBdr>
              <w:divsChild>
                <w:div w:id="35080377">
                  <w:marLeft w:val="0"/>
                  <w:marRight w:val="0"/>
                  <w:marTop w:val="1800"/>
                  <w:marBottom w:val="1500"/>
                  <w:divBdr>
                    <w:top w:val="none" w:sz="0" w:space="0" w:color="auto"/>
                    <w:left w:val="none" w:sz="0" w:space="0" w:color="auto"/>
                    <w:bottom w:val="none" w:sz="0" w:space="0" w:color="auto"/>
                    <w:right w:val="none" w:sz="0" w:space="0" w:color="auto"/>
                  </w:divBdr>
                  <w:divsChild>
                    <w:div w:id="398746611">
                      <w:marLeft w:val="0"/>
                      <w:marRight w:val="0"/>
                      <w:marTop w:val="0"/>
                      <w:marBottom w:val="0"/>
                      <w:divBdr>
                        <w:top w:val="none" w:sz="0" w:space="0" w:color="auto"/>
                        <w:left w:val="none" w:sz="0" w:space="0" w:color="auto"/>
                        <w:bottom w:val="none" w:sz="0" w:space="0" w:color="auto"/>
                        <w:right w:val="none" w:sz="0" w:space="0" w:color="auto"/>
                      </w:divBdr>
                      <w:divsChild>
                        <w:div w:id="6146798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E362-2A27-4E88-9B46-76CF2279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Подгорнова Оксана Александровна</dc:creator>
  <cp:lastModifiedBy>Екатерина</cp:lastModifiedBy>
  <cp:revision>4</cp:revision>
  <dcterms:created xsi:type="dcterms:W3CDTF">2019-12-09T06:35:00Z</dcterms:created>
  <dcterms:modified xsi:type="dcterms:W3CDTF">2019-12-17T04:22:00Z</dcterms:modified>
</cp:coreProperties>
</file>