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853827">
        <w:t>16</w:t>
      </w:r>
      <w:r w:rsidR="00A20722">
        <w:t xml:space="preserve"> апреля</w:t>
      </w:r>
      <w:r w:rsidR="009D7A78" w:rsidRPr="009D19B7">
        <w:t xml:space="preserve"> 2025</w:t>
      </w:r>
      <w:r w:rsidR="00877329" w:rsidRPr="009D19B7">
        <w:t xml:space="preserve"> года № </w:t>
      </w:r>
      <w:r w:rsidR="00CF0CB0">
        <w:t>581</w:t>
      </w:r>
    </w:p>
    <w:p w:rsidR="00877329" w:rsidRPr="009D19B7" w:rsidRDefault="00877329" w:rsidP="0007374D"/>
    <w:p w:rsidR="00877329" w:rsidRPr="009D19B7" w:rsidRDefault="00877329" w:rsidP="00877329">
      <w:pPr>
        <w:jc w:val="center"/>
      </w:pPr>
      <w:r w:rsidRPr="009D19B7">
        <w:t>г. Калининск</w:t>
      </w:r>
    </w:p>
    <w:p w:rsidR="00900C24" w:rsidRPr="006E5C53" w:rsidRDefault="00900C24" w:rsidP="006E5C53">
      <w:pPr>
        <w:ind w:firstLine="567"/>
        <w:jc w:val="both"/>
        <w:rPr>
          <w:sz w:val="28"/>
        </w:rPr>
      </w:pPr>
      <w:bookmarkStart w:id="0" w:name="_GoBack"/>
      <w:bookmarkEnd w:id="0"/>
    </w:p>
    <w:p w:rsidR="006E5C53" w:rsidRDefault="006E5C53" w:rsidP="006E5C53">
      <w:pPr>
        <w:jc w:val="both"/>
        <w:rPr>
          <w:b/>
          <w:sz w:val="28"/>
          <w:szCs w:val="28"/>
        </w:rPr>
      </w:pPr>
      <w:r w:rsidRPr="006E5C53">
        <w:rPr>
          <w:b/>
          <w:sz w:val="28"/>
          <w:szCs w:val="28"/>
        </w:rPr>
        <w:t>Об утверждении перечня земельных</w:t>
      </w:r>
      <w:r>
        <w:rPr>
          <w:b/>
          <w:sz w:val="28"/>
          <w:szCs w:val="28"/>
        </w:rPr>
        <w:t xml:space="preserve"> </w:t>
      </w:r>
      <w:r w:rsidRPr="006E5C53">
        <w:rPr>
          <w:b/>
          <w:sz w:val="28"/>
          <w:szCs w:val="28"/>
        </w:rPr>
        <w:t xml:space="preserve">участков, </w:t>
      </w:r>
    </w:p>
    <w:p w:rsidR="006E5C53" w:rsidRPr="006E5C53" w:rsidRDefault="006E5C53" w:rsidP="006E5C53">
      <w:pPr>
        <w:jc w:val="both"/>
        <w:rPr>
          <w:b/>
          <w:sz w:val="28"/>
          <w:szCs w:val="28"/>
        </w:rPr>
      </w:pPr>
      <w:r w:rsidRPr="006E5C53">
        <w:rPr>
          <w:b/>
          <w:sz w:val="28"/>
          <w:szCs w:val="28"/>
        </w:rPr>
        <w:t>предназначенных для</w:t>
      </w:r>
      <w:r>
        <w:rPr>
          <w:b/>
          <w:sz w:val="28"/>
          <w:szCs w:val="28"/>
        </w:rPr>
        <w:t xml:space="preserve"> </w:t>
      </w:r>
      <w:r w:rsidRPr="006E5C53">
        <w:rPr>
          <w:b/>
          <w:sz w:val="28"/>
          <w:szCs w:val="28"/>
        </w:rPr>
        <w:t>предоставления гражданам,</w:t>
      </w:r>
    </w:p>
    <w:p w:rsidR="006E5C53" w:rsidRDefault="006E5C53" w:rsidP="006E5C53">
      <w:pPr>
        <w:jc w:val="both"/>
        <w:rPr>
          <w:b/>
          <w:sz w:val="28"/>
          <w:szCs w:val="28"/>
        </w:rPr>
      </w:pPr>
      <w:r w:rsidRPr="006E5C53">
        <w:rPr>
          <w:b/>
          <w:sz w:val="28"/>
          <w:szCs w:val="28"/>
        </w:rPr>
        <w:t>поставленным на учет в качестве лиц,</w:t>
      </w:r>
      <w:r>
        <w:rPr>
          <w:b/>
          <w:sz w:val="28"/>
          <w:szCs w:val="28"/>
        </w:rPr>
        <w:t xml:space="preserve"> </w:t>
      </w:r>
      <w:r w:rsidRPr="006E5C53">
        <w:rPr>
          <w:b/>
          <w:sz w:val="28"/>
          <w:szCs w:val="28"/>
        </w:rPr>
        <w:t xml:space="preserve">имеющих </w:t>
      </w:r>
    </w:p>
    <w:p w:rsidR="006E5C53" w:rsidRDefault="006E5C53" w:rsidP="006E5C53">
      <w:pPr>
        <w:jc w:val="both"/>
        <w:rPr>
          <w:b/>
          <w:sz w:val="28"/>
          <w:szCs w:val="28"/>
        </w:rPr>
      </w:pPr>
      <w:r w:rsidRPr="006E5C53">
        <w:rPr>
          <w:b/>
          <w:sz w:val="28"/>
          <w:szCs w:val="28"/>
        </w:rPr>
        <w:t>право на предоставление земельных участков</w:t>
      </w:r>
    </w:p>
    <w:p w:rsidR="006E5C53" w:rsidRPr="006E5C53" w:rsidRDefault="006E5C53" w:rsidP="006E5C53">
      <w:pPr>
        <w:jc w:val="both"/>
        <w:rPr>
          <w:b/>
          <w:sz w:val="28"/>
          <w:szCs w:val="28"/>
        </w:rPr>
      </w:pPr>
      <w:r w:rsidRPr="006E5C53">
        <w:rPr>
          <w:b/>
          <w:sz w:val="28"/>
          <w:szCs w:val="28"/>
        </w:rPr>
        <w:t>в собственность бесплатно</w:t>
      </w:r>
    </w:p>
    <w:p w:rsidR="006E5C53" w:rsidRPr="006E5C53" w:rsidRDefault="006E5C53" w:rsidP="006E5C53">
      <w:pPr>
        <w:ind w:firstLine="567"/>
        <w:jc w:val="both"/>
        <w:rPr>
          <w:sz w:val="28"/>
          <w:szCs w:val="28"/>
        </w:rPr>
      </w:pPr>
    </w:p>
    <w:p w:rsidR="006E5C53" w:rsidRPr="006E5C53" w:rsidRDefault="006E5C53" w:rsidP="006E5C53">
      <w:pPr>
        <w:ind w:firstLine="567"/>
        <w:jc w:val="both"/>
        <w:rPr>
          <w:sz w:val="28"/>
          <w:szCs w:val="28"/>
        </w:rPr>
      </w:pPr>
      <w:r w:rsidRPr="006E5C53">
        <w:rPr>
          <w:sz w:val="28"/>
          <w:szCs w:val="28"/>
        </w:rPr>
        <w:t>В целях реализации статьи 39.5 Земельного кодекса Российской Федерации от 25 октября 2001 года №</w:t>
      </w:r>
      <w:r>
        <w:rPr>
          <w:sz w:val="28"/>
          <w:szCs w:val="28"/>
        </w:rPr>
        <w:t xml:space="preserve"> </w:t>
      </w:r>
      <w:r w:rsidRPr="006E5C53">
        <w:rPr>
          <w:sz w:val="28"/>
          <w:szCs w:val="28"/>
        </w:rPr>
        <w:t>136-ФЗ, Закона Саратовской области от 30 сентября 2014 года №</w:t>
      </w:r>
      <w:r>
        <w:rPr>
          <w:sz w:val="28"/>
          <w:szCs w:val="28"/>
        </w:rPr>
        <w:t xml:space="preserve"> </w:t>
      </w:r>
      <w:r w:rsidRPr="006E5C53">
        <w:rPr>
          <w:sz w:val="28"/>
          <w:szCs w:val="28"/>
        </w:rPr>
        <w:t>122-ЗСО «О земле», Закон Сарато</w:t>
      </w:r>
      <w:r>
        <w:rPr>
          <w:sz w:val="28"/>
          <w:szCs w:val="28"/>
        </w:rPr>
        <w:t>вской области от 26 июля 2023 года</w:t>
      </w:r>
      <w:r w:rsidRPr="006E5C53">
        <w:rPr>
          <w:sz w:val="28"/>
          <w:szCs w:val="28"/>
        </w:rPr>
        <w:t xml:space="preserve"> «О внесении изменений в Закон Саратовской области «О земле»»,  постановления администрации Калининского муниципального района Саратовской области от 17 октября 2023 года № 1360 «Об утверждении административного регламента, предоставления муниципальной услуги «Предоставления гражданам, поставленным на учет в качестве лиц, имеющих право на предоставление земельных участков в собственность бесплатно»», руководствуясь Уставом Калининского муниципального района Саратовской области, ПОСТАНОВЛЯЕТ:</w:t>
      </w:r>
    </w:p>
    <w:p w:rsidR="006E5C53" w:rsidRPr="006E5C53" w:rsidRDefault="006E5C53" w:rsidP="006E5C53">
      <w:pPr>
        <w:ind w:firstLine="567"/>
        <w:jc w:val="both"/>
        <w:rPr>
          <w:sz w:val="28"/>
          <w:szCs w:val="28"/>
        </w:rPr>
      </w:pPr>
    </w:p>
    <w:p w:rsidR="006E5C53" w:rsidRPr="006E5C53" w:rsidRDefault="006E5C53" w:rsidP="006E5C53">
      <w:pPr>
        <w:ind w:firstLine="567"/>
        <w:jc w:val="both"/>
        <w:rPr>
          <w:sz w:val="28"/>
          <w:szCs w:val="28"/>
        </w:rPr>
      </w:pPr>
      <w:r w:rsidRPr="006E5C53">
        <w:rPr>
          <w:sz w:val="28"/>
          <w:szCs w:val="28"/>
        </w:rPr>
        <w:t>1. Утвердить сформированный перечень земельных участков, предназначенных для предоставления гражданам, поставленным на учет в качестве лиц, имеющих право на предоставление земельных участков в собственность бесплатно, согласно приложению.</w:t>
      </w:r>
    </w:p>
    <w:p w:rsidR="006E5C53" w:rsidRPr="006E5C53" w:rsidRDefault="006E5C53" w:rsidP="006E5C53">
      <w:pPr>
        <w:ind w:firstLine="567"/>
        <w:jc w:val="both"/>
        <w:rPr>
          <w:sz w:val="28"/>
          <w:szCs w:val="28"/>
        </w:rPr>
      </w:pPr>
      <w:r w:rsidRPr="006E5C53">
        <w:rPr>
          <w:sz w:val="28"/>
        </w:rPr>
        <w:t>2. Начальнику о</w:t>
      </w:r>
      <w:r w:rsidRPr="006E5C53">
        <w:rPr>
          <w:sz w:val="28"/>
          <w:szCs w:val="28"/>
        </w:rPr>
        <w:t>тдела по работе со средствами массовой информации и информационных техно</w:t>
      </w:r>
      <w:r>
        <w:rPr>
          <w:sz w:val="28"/>
          <w:szCs w:val="28"/>
        </w:rPr>
        <w:t>логий администрации</w:t>
      </w:r>
      <w:r w:rsidRPr="006E5C53">
        <w:rPr>
          <w:sz w:val="28"/>
          <w:szCs w:val="28"/>
        </w:rPr>
        <w:t xml:space="preserve"> муни</w:t>
      </w:r>
      <w:r>
        <w:rPr>
          <w:sz w:val="28"/>
          <w:szCs w:val="28"/>
        </w:rPr>
        <w:t>ципального района</w:t>
      </w:r>
      <w:r w:rsidRPr="006E5C53">
        <w:rPr>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6E5C53" w:rsidRPr="006E5C53" w:rsidRDefault="006E5C53" w:rsidP="006E5C53">
      <w:pPr>
        <w:ind w:firstLine="567"/>
        <w:jc w:val="both"/>
        <w:rPr>
          <w:sz w:val="28"/>
          <w:szCs w:val="28"/>
        </w:rPr>
      </w:pPr>
      <w:r w:rsidRPr="006E5C53">
        <w:rPr>
          <w:sz w:val="28"/>
          <w:szCs w:val="28"/>
        </w:rPr>
        <w:t>3. Директору</w:t>
      </w:r>
      <w:r>
        <w:rPr>
          <w:sz w:val="28"/>
          <w:szCs w:val="28"/>
        </w:rPr>
        <w:t xml:space="preserve"> </w:t>
      </w:r>
      <w:r w:rsidRPr="006E5C53">
        <w:rPr>
          <w:sz w:val="28"/>
          <w:szCs w:val="28"/>
        </w:rPr>
        <w:t>-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6E5C53" w:rsidRPr="006E5C53" w:rsidRDefault="006E5C53" w:rsidP="006E5C53">
      <w:pPr>
        <w:ind w:firstLine="567"/>
        <w:jc w:val="both"/>
        <w:rPr>
          <w:sz w:val="28"/>
          <w:szCs w:val="28"/>
        </w:rPr>
      </w:pPr>
      <w:r w:rsidRPr="006E5C53">
        <w:rPr>
          <w:sz w:val="28"/>
          <w:szCs w:val="28"/>
        </w:rPr>
        <w:lastRenderedPageBreak/>
        <w:t>4. Настоящее постановление вступает в силу с момента его подписания.</w:t>
      </w:r>
    </w:p>
    <w:p w:rsidR="006E5C53" w:rsidRPr="006E5C53" w:rsidRDefault="006E5C53" w:rsidP="006E5C53">
      <w:pPr>
        <w:ind w:firstLine="567"/>
        <w:jc w:val="both"/>
        <w:rPr>
          <w:sz w:val="28"/>
          <w:szCs w:val="28"/>
        </w:rPr>
      </w:pPr>
      <w:r w:rsidRPr="006E5C53">
        <w:rPr>
          <w:sz w:val="28"/>
          <w:szCs w:val="28"/>
        </w:rPr>
        <w:t>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2C62BC" w:rsidRPr="006E5C53" w:rsidRDefault="002C62BC" w:rsidP="006E5C53">
      <w:pPr>
        <w:ind w:firstLine="567"/>
        <w:jc w:val="both"/>
        <w:rPr>
          <w:sz w:val="28"/>
        </w:rPr>
      </w:pPr>
    </w:p>
    <w:p w:rsidR="00C2365A" w:rsidRPr="00356908" w:rsidRDefault="00C2365A" w:rsidP="00356908">
      <w:pPr>
        <w:ind w:firstLine="567"/>
        <w:jc w:val="both"/>
        <w:rPr>
          <w:sz w:val="28"/>
        </w:rPr>
      </w:pPr>
    </w:p>
    <w:p w:rsidR="00C2365A" w:rsidRPr="00C2365A" w:rsidRDefault="00C2365A" w:rsidP="00C2365A">
      <w:pPr>
        <w:pStyle w:val="af5"/>
        <w:tabs>
          <w:tab w:val="left" w:pos="567"/>
        </w:tabs>
        <w:spacing w:before="0" w:beforeAutospacing="0"/>
        <w:ind w:firstLine="567"/>
        <w:rPr>
          <w:sz w:val="28"/>
          <w:szCs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C2365A" w:rsidRDefault="00C2365A" w:rsidP="00AB5A2E">
      <w:pPr>
        <w:jc w:val="both"/>
      </w:pPr>
    </w:p>
    <w:p w:rsidR="00C2365A" w:rsidRDefault="00C2365A" w:rsidP="00AB5A2E">
      <w:pPr>
        <w:jc w:val="both"/>
      </w:pPr>
    </w:p>
    <w:p w:rsidR="00C2365A" w:rsidRDefault="00C2365A" w:rsidP="00AB5A2E">
      <w:pPr>
        <w:jc w:val="both"/>
      </w:pPr>
    </w:p>
    <w:p w:rsidR="00C2365A" w:rsidRDefault="00C2365A" w:rsidP="00AB5A2E">
      <w:pPr>
        <w:jc w:val="both"/>
      </w:pPr>
    </w:p>
    <w:p w:rsidR="00C2365A" w:rsidRDefault="00C2365A"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465EDD" w:rsidRDefault="00465EDD" w:rsidP="00AB5A2E">
      <w:pPr>
        <w:jc w:val="both"/>
      </w:pPr>
    </w:p>
    <w:p w:rsidR="006E5C53" w:rsidRDefault="006E5C53" w:rsidP="00AB5A2E">
      <w:pPr>
        <w:jc w:val="both"/>
      </w:pPr>
    </w:p>
    <w:p w:rsidR="006E5C53" w:rsidRDefault="006E5C53" w:rsidP="00AB5A2E">
      <w:pPr>
        <w:jc w:val="both"/>
      </w:pPr>
    </w:p>
    <w:p w:rsidR="006E5C53" w:rsidRDefault="006E5C53" w:rsidP="00AB5A2E">
      <w:pPr>
        <w:jc w:val="both"/>
      </w:pPr>
    </w:p>
    <w:p w:rsidR="006E5C53" w:rsidRDefault="006E5C53" w:rsidP="00AB5A2E">
      <w:pPr>
        <w:jc w:val="both"/>
      </w:pPr>
    </w:p>
    <w:p w:rsidR="00465EDD" w:rsidRDefault="00465EDD" w:rsidP="00AB5A2E">
      <w:pPr>
        <w:jc w:val="both"/>
      </w:pPr>
    </w:p>
    <w:p w:rsidR="002F690C" w:rsidRDefault="00C17BEE" w:rsidP="00AB5A2E">
      <w:pPr>
        <w:jc w:val="both"/>
      </w:pPr>
      <w:r w:rsidRPr="003B07CB">
        <w:t>Исп</w:t>
      </w:r>
      <w:r w:rsidR="00F56E47">
        <w:t>.:</w:t>
      </w:r>
      <w:r w:rsidR="00F956F9">
        <w:t xml:space="preserve"> </w:t>
      </w:r>
      <w:r w:rsidR="006E5C53">
        <w:t>Антоненко Е.Б.</w:t>
      </w:r>
    </w:p>
    <w:p w:rsidR="006E5C53" w:rsidRPr="007A1CC2" w:rsidRDefault="006E5C53" w:rsidP="006E5C53">
      <w:pPr>
        <w:pStyle w:val="af1"/>
        <w:tabs>
          <w:tab w:val="left" w:pos="1594"/>
        </w:tabs>
        <w:ind w:left="6237"/>
        <w:rPr>
          <w:b/>
          <w:sz w:val="28"/>
          <w:szCs w:val="28"/>
        </w:rPr>
      </w:pPr>
      <w:r w:rsidRPr="007A1CC2">
        <w:rPr>
          <w:b/>
          <w:sz w:val="28"/>
          <w:szCs w:val="28"/>
        </w:rPr>
        <w:lastRenderedPageBreak/>
        <w:t>Приложение</w:t>
      </w:r>
    </w:p>
    <w:p w:rsidR="006E5C53" w:rsidRDefault="006E5C53" w:rsidP="006E5C53">
      <w:pPr>
        <w:pStyle w:val="af1"/>
        <w:tabs>
          <w:tab w:val="left" w:pos="1594"/>
        </w:tabs>
        <w:ind w:left="6237"/>
        <w:rPr>
          <w:b/>
          <w:sz w:val="28"/>
          <w:szCs w:val="28"/>
        </w:rPr>
      </w:pPr>
      <w:r w:rsidRPr="007A1CC2">
        <w:rPr>
          <w:b/>
          <w:sz w:val="28"/>
          <w:szCs w:val="28"/>
        </w:rPr>
        <w:t xml:space="preserve">к постановлению </w:t>
      </w:r>
    </w:p>
    <w:p w:rsidR="006E5C53" w:rsidRPr="007A1CC2" w:rsidRDefault="006E5C53" w:rsidP="006E5C53">
      <w:pPr>
        <w:pStyle w:val="af1"/>
        <w:tabs>
          <w:tab w:val="left" w:pos="1594"/>
        </w:tabs>
        <w:ind w:left="6237"/>
        <w:rPr>
          <w:b/>
          <w:sz w:val="28"/>
          <w:szCs w:val="28"/>
        </w:rPr>
      </w:pPr>
      <w:r w:rsidRPr="007A1CC2">
        <w:rPr>
          <w:b/>
          <w:sz w:val="28"/>
          <w:szCs w:val="28"/>
        </w:rPr>
        <w:t>администрации</w:t>
      </w:r>
      <w:r>
        <w:rPr>
          <w:b/>
          <w:sz w:val="28"/>
          <w:szCs w:val="28"/>
        </w:rPr>
        <w:t xml:space="preserve"> МР</w:t>
      </w:r>
    </w:p>
    <w:p w:rsidR="006E5C53" w:rsidRPr="007A1CC2" w:rsidRDefault="006E5C53" w:rsidP="006E5C53">
      <w:pPr>
        <w:pStyle w:val="af1"/>
        <w:tabs>
          <w:tab w:val="left" w:pos="1594"/>
        </w:tabs>
        <w:ind w:left="6237"/>
        <w:rPr>
          <w:b/>
          <w:sz w:val="28"/>
          <w:szCs w:val="28"/>
        </w:rPr>
      </w:pPr>
      <w:r>
        <w:rPr>
          <w:b/>
          <w:sz w:val="28"/>
          <w:szCs w:val="28"/>
        </w:rPr>
        <w:t xml:space="preserve">от </w:t>
      </w:r>
      <w:r w:rsidR="004747B3">
        <w:rPr>
          <w:b/>
          <w:sz w:val="28"/>
          <w:szCs w:val="28"/>
        </w:rPr>
        <w:t>16.04.</w:t>
      </w:r>
      <w:r>
        <w:rPr>
          <w:b/>
          <w:sz w:val="28"/>
          <w:szCs w:val="28"/>
        </w:rPr>
        <w:t>2025</w:t>
      </w:r>
      <w:r w:rsidR="004747B3">
        <w:rPr>
          <w:b/>
          <w:sz w:val="28"/>
          <w:szCs w:val="28"/>
        </w:rPr>
        <w:t xml:space="preserve"> года №581</w:t>
      </w:r>
    </w:p>
    <w:p w:rsidR="006E5C53" w:rsidRPr="007A1CC2" w:rsidRDefault="006E5C53" w:rsidP="006E5C53">
      <w:pPr>
        <w:pStyle w:val="af1"/>
        <w:tabs>
          <w:tab w:val="left" w:pos="1594"/>
        </w:tabs>
        <w:rPr>
          <w:b/>
          <w:sz w:val="28"/>
          <w:szCs w:val="28"/>
        </w:rPr>
      </w:pPr>
    </w:p>
    <w:p w:rsidR="006E5C53" w:rsidRDefault="006E5C53" w:rsidP="006E5C53">
      <w:pPr>
        <w:jc w:val="center"/>
        <w:rPr>
          <w:b/>
          <w:sz w:val="28"/>
          <w:szCs w:val="28"/>
        </w:rPr>
      </w:pPr>
      <w:r w:rsidRPr="000769C1">
        <w:rPr>
          <w:b/>
          <w:sz w:val="28"/>
          <w:szCs w:val="28"/>
        </w:rPr>
        <w:t>Перечень земельных участков</w:t>
      </w:r>
    </w:p>
    <w:p w:rsidR="006E5C53" w:rsidRDefault="006E5C53" w:rsidP="006E5C53">
      <w:pPr>
        <w:jc w:val="center"/>
        <w:rPr>
          <w:b/>
          <w:sz w:val="28"/>
          <w:szCs w:val="28"/>
        </w:rPr>
      </w:pPr>
    </w:p>
    <w:tbl>
      <w:tblPr>
        <w:tblW w:w="9953" w:type="dxa"/>
        <w:tblLayout w:type="fixed"/>
        <w:tblCellMar>
          <w:left w:w="30" w:type="dxa"/>
          <w:right w:w="30" w:type="dxa"/>
        </w:tblCellMar>
        <w:tblLook w:val="0000"/>
      </w:tblPr>
      <w:tblGrid>
        <w:gridCol w:w="456"/>
        <w:gridCol w:w="2409"/>
        <w:gridCol w:w="2192"/>
        <w:gridCol w:w="1494"/>
        <w:gridCol w:w="1984"/>
        <w:gridCol w:w="1418"/>
      </w:tblGrid>
      <w:tr w:rsidR="006E5C53" w:rsidRPr="008B544B" w:rsidTr="004747B3">
        <w:trPr>
          <w:trHeight w:val="1422"/>
        </w:trPr>
        <w:tc>
          <w:tcPr>
            <w:tcW w:w="456"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b/>
                <w:bCs/>
                <w:color w:val="000000"/>
                <w:sz w:val="24"/>
                <w:szCs w:val="24"/>
              </w:rPr>
            </w:pPr>
            <w:r w:rsidRPr="008B544B">
              <w:rPr>
                <w:b/>
                <w:bCs/>
                <w:color w:val="000000"/>
                <w:sz w:val="24"/>
                <w:szCs w:val="24"/>
              </w:rPr>
              <w:t>№ п/п</w:t>
            </w:r>
          </w:p>
        </w:tc>
        <w:tc>
          <w:tcPr>
            <w:tcW w:w="2409"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b/>
                <w:bCs/>
                <w:color w:val="000000"/>
                <w:sz w:val="24"/>
                <w:szCs w:val="24"/>
              </w:rPr>
            </w:pPr>
            <w:r w:rsidRPr="008B544B">
              <w:rPr>
                <w:b/>
                <w:bCs/>
                <w:color w:val="000000"/>
                <w:sz w:val="24"/>
                <w:szCs w:val="24"/>
              </w:rPr>
              <w:t>Адрес земельного участка</w:t>
            </w:r>
          </w:p>
        </w:tc>
        <w:tc>
          <w:tcPr>
            <w:tcW w:w="2192"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b/>
                <w:bCs/>
                <w:color w:val="000000"/>
                <w:sz w:val="24"/>
                <w:szCs w:val="24"/>
              </w:rPr>
            </w:pPr>
            <w:r w:rsidRPr="008B544B">
              <w:rPr>
                <w:b/>
                <w:bCs/>
                <w:color w:val="000000"/>
                <w:sz w:val="24"/>
                <w:szCs w:val="24"/>
              </w:rPr>
              <w:t>Кадастровый номер земельного участка</w:t>
            </w:r>
          </w:p>
        </w:tc>
        <w:tc>
          <w:tcPr>
            <w:tcW w:w="1494"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b/>
                <w:bCs/>
                <w:color w:val="000000"/>
                <w:sz w:val="24"/>
                <w:szCs w:val="24"/>
              </w:rPr>
            </w:pPr>
            <w:r w:rsidRPr="008B544B">
              <w:rPr>
                <w:b/>
                <w:bCs/>
                <w:color w:val="000000"/>
                <w:sz w:val="24"/>
                <w:szCs w:val="24"/>
              </w:rPr>
              <w:t>Площадь земельного участка (кв.м.)</w:t>
            </w:r>
          </w:p>
        </w:tc>
        <w:tc>
          <w:tcPr>
            <w:tcW w:w="1984"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b/>
                <w:bCs/>
                <w:color w:val="000000"/>
                <w:sz w:val="24"/>
                <w:szCs w:val="24"/>
              </w:rPr>
            </w:pPr>
            <w:r w:rsidRPr="008B544B">
              <w:rPr>
                <w:b/>
                <w:bCs/>
                <w:color w:val="000000"/>
                <w:sz w:val="24"/>
                <w:szCs w:val="24"/>
              </w:rPr>
              <w:t>Вид разрешенного использования земельного участка</w:t>
            </w:r>
          </w:p>
        </w:tc>
        <w:tc>
          <w:tcPr>
            <w:tcW w:w="1418"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b/>
                <w:bCs/>
                <w:color w:val="000000"/>
                <w:sz w:val="24"/>
                <w:szCs w:val="24"/>
              </w:rPr>
            </w:pPr>
            <w:r w:rsidRPr="008B544B">
              <w:rPr>
                <w:b/>
                <w:bCs/>
                <w:color w:val="000000"/>
                <w:sz w:val="24"/>
                <w:szCs w:val="24"/>
              </w:rPr>
              <w:t>Категория земель</w:t>
            </w:r>
          </w:p>
        </w:tc>
      </w:tr>
      <w:tr w:rsidR="006E5C53" w:rsidRPr="008B544B" w:rsidTr="004747B3">
        <w:trPr>
          <w:trHeight w:val="915"/>
        </w:trPr>
        <w:tc>
          <w:tcPr>
            <w:tcW w:w="456"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color w:val="000000"/>
                <w:sz w:val="24"/>
                <w:szCs w:val="24"/>
              </w:rPr>
            </w:pPr>
            <w:r>
              <w:rPr>
                <w:color w:val="000000"/>
                <w:sz w:val="24"/>
                <w:szCs w:val="24"/>
              </w:rPr>
              <w:t>1</w:t>
            </w:r>
          </w:p>
        </w:tc>
        <w:tc>
          <w:tcPr>
            <w:tcW w:w="2409" w:type="dxa"/>
            <w:tcBorders>
              <w:top w:val="single" w:sz="6" w:space="0" w:color="auto"/>
              <w:left w:val="single" w:sz="6" w:space="0" w:color="auto"/>
              <w:bottom w:val="single" w:sz="6" w:space="0" w:color="auto"/>
              <w:right w:val="single" w:sz="6" w:space="0" w:color="auto"/>
            </w:tcBorders>
          </w:tcPr>
          <w:p w:rsidR="006E5C53" w:rsidRPr="008B544B" w:rsidRDefault="006E5C53" w:rsidP="004747B3">
            <w:pPr>
              <w:overflowPunct/>
              <w:jc w:val="both"/>
              <w:textAlignment w:val="auto"/>
              <w:rPr>
                <w:color w:val="000000"/>
                <w:sz w:val="24"/>
                <w:szCs w:val="24"/>
              </w:rPr>
            </w:pPr>
            <w:r w:rsidRPr="008B544B">
              <w:rPr>
                <w:color w:val="000000"/>
                <w:sz w:val="24"/>
                <w:szCs w:val="24"/>
              </w:rPr>
              <w:t xml:space="preserve">Саратовская область, </w:t>
            </w:r>
            <w:r>
              <w:rPr>
                <w:color w:val="000000"/>
                <w:sz w:val="24"/>
                <w:szCs w:val="24"/>
              </w:rPr>
              <w:t>Калининский район, с. Широкий Уступ, ул. Рабочая, № 10</w:t>
            </w:r>
          </w:p>
        </w:tc>
        <w:tc>
          <w:tcPr>
            <w:tcW w:w="2192"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color w:val="000000"/>
                <w:sz w:val="24"/>
                <w:szCs w:val="24"/>
              </w:rPr>
            </w:pPr>
            <w:r w:rsidRPr="008B544B">
              <w:rPr>
                <w:color w:val="000000"/>
                <w:sz w:val="24"/>
                <w:szCs w:val="24"/>
              </w:rPr>
              <w:t>64:15:</w:t>
            </w:r>
            <w:r>
              <w:rPr>
                <w:color w:val="000000"/>
                <w:sz w:val="24"/>
                <w:szCs w:val="24"/>
              </w:rPr>
              <w:t>050501:1204</w:t>
            </w:r>
          </w:p>
        </w:tc>
        <w:tc>
          <w:tcPr>
            <w:tcW w:w="1494"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color w:val="000000"/>
                <w:sz w:val="24"/>
                <w:szCs w:val="24"/>
              </w:rPr>
            </w:pPr>
            <w:r>
              <w:rPr>
                <w:color w:val="000000"/>
                <w:sz w:val="24"/>
                <w:szCs w:val="24"/>
              </w:rPr>
              <w:t>1487</w:t>
            </w:r>
          </w:p>
        </w:tc>
        <w:tc>
          <w:tcPr>
            <w:tcW w:w="1984"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color w:val="000000"/>
                <w:sz w:val="24"/>
                <w:szCs w:val="24"/>
              </w:rPr>
            </w:pPr>
            <w:r w:rsidRPr="008B544B">
              <w:rPr>
                <w:color w:val="000000"/>
                <w:sz w:val="24"/>
                <w:szCs w:val="24"/>
              </w:rPr>
              <w:t xml:space="preserve">Для </w:t>
            </w:r>
            <w:r>
              <w:rPr>
                <w:color w:val="000000"/>
                <w:sz w:val="24"/>
                <w:szCs w:val="24"/>
              </w:rPr>
              <w:t>ведения личного подсобного хозяйства (приусадебный земельный участок)</w:t>
            </w:r>
          </w:p>
        </w:tc>
        <w:tc>
          <w:tcPr>
            <w:tcW w:w="1418" w:type="dxa"/>
            <w:tcBorders>
              <w:top w:val="single" w:sz="6" w:space="0" w:color="auto"/>
              <w:left w:val="single" w:sz="6" w:space="0" w:color="auto"/>
              <w:bottom w:val="single" w:sz="6" w:space="0" w:color="auto"/>
              <w:right w:val="single" w:sz="6" w:space="0" w:color="auto"/>
            </w:tcBorders>
          </w:tcPr>
          <w:p w:rsidR="006E5C53" w:rsidRPr="008B544B" w:rsidRDefault="006E5C53" w:rsidP="0097321C">
            <w:pPr>
              <w:overflowPunct/>
              <w:jc w:val="center"/>
              <w:textAlignment w:val="auto"/>
              <w:rPr>
                <w:color w:val="000000"/>
                <w:sz w:val="24"/>
                <w:szCs w:val="24"/>
              </w:rPr>
            </w:pPr>
            <w:r w:rsidRPr="008B544B">
              <w:rPr>
                <w:color w:val="000000"/>
                <w:sz w:val="24"/>
                <w:szCs w:val="24"/>
              </w:rPr>
              <w:t>Земли населенных пунктов</w:t>
            </w:r>
          </w:p>
        </w:tc>
      </w:tr>
    </w:tbl>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Pr="004747B3" w:rsidRDefault="004747B3" w:rsidP="004747B3">
      <w:pPr>
        <w:pStyle w:val="af1"/>
        <w:jc w:val="center"/>
        <w:rPr>
          <w:sz w:val="28"/>
          <w:szCs w:val="28"/>
        </w:rPr>
      </w:pPr>
      <w:r w:rsidRPr="004747B3">
        <w:rPr>
          <w:sz w:val="28"/>
          <w:szCs w:val="28"/>
        </w:rPr>
        <w:t>_________________________</w:t>
      </w:r>
    </w:p>
    <w:p w:rsidR="006E5C53" w:rsidRDefault="006E5C53" w:rsidP="004747B3">
      <w:pPr>
        <w:pStyle w:val="af1"/>
        <w:tabs>
          <w:tab w:val="left" w:pos="1594"/>
        </w:tabs>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p>
    <w:p w:rsidR="006E5C53" w:rsidRDefault="006E5C53" w:rsidP="006E5C53">
      <w:pPr>
        <w:pStyle w:val="af1"/>
        <w:tabs>
          <w:tab w:val="left" w:pos="1594"/>
        </w:tabs>
        <w:ind w:left="5103"/>
        <w:rPr>
          <w:b/>
          <w:sz w:val="28"/>
          <w:szCs w:val="28"/>
        </w:rPr>
      </w:pPr>
      <w:r w:rsidRPr="007A1CC2">
        <w:rPr>
          <w:b/>
          <w:sz w:val="28"/>
          <w:szCs w:val="28"/>
        </w:rPr>
        <w:lastRenderedPageBreak/>
        <w:t>Приложение</w:t>
      </w:r>
      <w:r>
        <w:rPr>
          <w:b/>
          <w:sz w:val="28"/>
          <w:szCs w:val="28"/>
        </w:rPr>
        <w:t xml:space="preserve"> №1</w:t>
      </w:r>
    </w:p>
    <w:p w:rsidR="006E5C53" w:rsidRPr="007A1CC2" w:rsidRDefault="006E5C53" w:rsidP="006E5C53">
      <w:pPr>
        <w:pStyle w:val="af1"/>
        <w:tabs>
          <w:tab w:val="left" w:pos="1594"/>
        </w:tabs>
        <w:ind w:left="5103"/>
        <w:rPr>
          <w:b/>
          <w:sz w:val="28"/>
          <w:szCs w:val="28"/>
        </w:rPr>
      </w:pPr>
      <w:r>
        <w:rPr>
          <w:b/>
          <w:sz w:val="28"/>
          <w:szCs w:val="28"/>
        </w:rPr>
        <w:t>к перечню земельных участков</w:t>
      </w:r>
    </w:p>
    <w:p w:rsidR="006E5C53" w:rsidRDefault="006E5C53" w:rsidP="006E5C53">
      <w:pPr>
        <w:pStyle w:val="af1"/>
        <w:tabs>
          <w:tab w:val="left" w:pos="1594"/>
        </w:tabs>
        <w:ind w:left="-709" w:right="-143"/>
        <w:jc w:val="both"/>
        <w:rPr>
          <w:b/>
          <w:sz w:val="28"/>
          <w:szCs w:val="28"/>
        </w:rPr>
      </w:pPr>
    </w:p>
    <w:p w:rsidR="006E5C53" w:rsidRPr="00DB7E67" w:rsidRDefault="006E5C53" w:rsidP="006E5C53">
      <w:pPr>
        <w:rPr>
          <w:b/>
          <w:noProof/>
          <w:sz w:val="26"/>
          <w:szCs w:val="26"/>
        </w:rPr>
      </w:pPr>
      <w:r w:rsidRPr="00DB7E67">
        <w:rPr>
          <w:b/>
          <w:noProof/>
          <w:sz w:val="26"/>
          <w:szCs w:val="26"/>
        </w:rPr>
        <w:t xml:space="preserve">с. </w:t>
      </w:r>
      <w:r>
        <w:rPr>
          <w:b/>
          <w:noProof/>
          <w:sz w:val="26"/>
          <w:szCs w:val="26"/>
        </w:rPr>
        <w:t>Широкий Уступ, ул. Рабочая, № 10</w:t>
      </w:r>
    </w:p>
    <w:p w:rsidR="006E5C53" w:rsidRDefault="006E5C53" w:rsidP="006E5C53">
      <w:pPr>
        <w:pStyle w:val="af1"/>
        <w:tabs>
          <w:tab w:val="left" w:pos="1594"/>
        </w:tabs>
        <w:ind w:right="-143"/>
        <w:jc w:val="both"/>
        <w:rPr>
          <w:b/>
          <w:sz w:val="28"/>
          <w:szCs w:val="28"/>
        </w:rPr>
      </w:pPr>
    </w:p>
    <w:p w:rsidR="006E5C53" w:rsidRDefault="006E5C53" w:rsidP="00AB5A2E">
      <w:pPr>
        <w:jc w:val="both"/>
      </w:pPr>
      <w:r w:rsidRPr="006E5C53">
        <w:drawing>
          <wp:inline distT="0" distB="0" distL="0" distR="0">
            <wp:extent cx="6120130" cy="2952208"/>
            <wp:effectExtent l="19050" t="0" r="0" b="0"/>
            <wp:docPr id="1" name="Рисунок 2" descr="C:\Users\User\Downloads\2025-04-15_12-4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025-04-15_12-46-36.png"/>
                    <pic:cNvPicPr>
                      <a:picLocks noChangeAspect="1" noChangeArrowheads="1"/>
                    </pic:cNvPicPr>
                  </pic:nvPicPr>
                  <pic:blipFill>
                    <a:blip r:embed="rId9"/>
                    <a:srcRect/>
                    <a:stretch>
                      <a:fillRect/>
                    </a:stretch>
                  </pic:blipFill>
                  <pic:spPr bwMode="auto">
                    <a:xfrm>
                      <a:off x="0" y="0"/>
                      <a:ext cx="6120130" cy="2952208"/>
                    </a:xfrm>
                    <a:prstGeom prst="rect">
                      <a:avLst/>
                    </a:prstGeom>
                    <a:noFill/>
                    <a:ln w="9525">
                      <a:noFill/>
                      <a:miter lim="800000"/>
                      <a:headEnd/>
                      <a:tailEnd/>
                    </a:ln>
                  </pic:spPr>
                </pic:pic>
              </a:graphicData>
            </a:graphic>
          </wp:inline>
        </w:drawing>
      </w:r>
    </w:p>
    <w:sectPr w:rsidR="006E5C53" w:rsidSect="008B586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23" w:rsidRDefault="00033E23">
      <w:r>
        <w:separator/>
      </w:r>
    </w:p>
  </w:endnote>
  <w:endnote w:type="continuationSeparator" w:id="1">
    <w:p w:rsidR="00033E23" w:rsidRDefault="00033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23" w:rsidRDefault="00033E23">
      <w:r>
        <w:separator/>
      </w:r>
    </w:p>
  </w:footnote>
  <w:footnote w:type="continuationSeparator" w:id="1">
    <w:p w:rsidR="00033E23" w:rsidRDefault="00033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6"/>
  </w:num>
  <w:num w:numId="7">
    <w:abstractNumId w:val="16"/>
  </w:num>
  <w:num w:numId="8">
    <w:abstractNumId w:val="22"/>
  </w:num>
  <w:num w:numId="9">
    <w:abstractNumId w:val="26"/>
  </w:num>
  <w:num w:numId="10">
    <w:abstractNumId w:val="34"/>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30"/>
  </w:num>
  <w:num w:numId="17">
    <w:abstractNumId w:val="17"/>
  </w:num>
  <w:num w:numId="18">
    <w:abstractNumId w:val="32"/>
  </w:num>
  <w:num w:numId="19">
    <w:abstractNumId w:val="27"/>
  </w:num>
  <w:num w:numId="20">
    <w:abstractNumId w:val="31"/>
  </w:num>
  <w:num w:numId="21">
    <w:abstractNumId w:val="8"/>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8"/>
  </w:num>
  <w:num w:numId="26">
    <w:abstractNumId w:val="12"/>
  </w:num>
  <w:num w:numId="27">
    <w:abstractNumId w:val="9"/>
  </w:num>
  <w:num w:numId="28">
    <w:abstractNumId w:val="29"/>
  </w:num>
  <w:num w:numId="29">
    <w:abstractNumId w:val="21"/>
  </w:num>
  <w:num w:numId="30">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2025-04-16T11:54:00Z</cp:lastPrinted>
  <dcterms:created xsi:type="dcterms:W3CDTF">2025-04-16T12:03:00Z</dcterms:created>
  <dcterms:modified xsi:type="dcterms:W3CDTF">2025-04-16T12:03:00Z</dcterms:modified>
</cp:coreProperties>
</file>