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proofErr w:type="gramStart"/>
      <w:r w:rsidR="00AE40D1">
        <w:rPr>
          <w:b/>
        </w:rPr>
        <w:t>Калининского</w:t>
      </w:r>
      <w:proofErr w:type="gramEnd"/>
      <w:r w:rsidR="00AE40D1">
        <w:rPr>
          <w:b/>
        </w:rPr>
        <w:t xml:space="preserve">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A871B1">
        <w:rPr>
          <w:b/>
        </w:rPr>
        <w:t>В.Г. Лазарев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Pr="00837765" w:rsidRDefault="0078238B" w:rsidP="00755035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 xml:space="preserve">Администрация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A3B42" w:rsidP="0031635B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>Распоряжение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154A62">
              <w:rPr>
                <w:rFonts w:eastAsia="Times New Roman CYR"/>
              </w:rPr>
              <w:t>10 мая</w:t>
            </w:r>
            <w:r w:rsidR="009C40CD" w:rsidRPr="00837765">
              <w:rPr>
                <w:rFonts w:eastAsia="Times New Roman CYR"/>
              </w:rPr>
              <w:t xml:space="preserve"> 2023</w:t>
            </w:r>
            <w:r w:rsidR="00BE1F45" w:rsidRPr="00837765">
              <w:rPr>
                <w:rFonts w:eastAsia="Times New Roman CYR"/>
              </w:rPr>
              <w:t xml:space="preserve"> года № </w:t>
            </w:r>
            <w:r w:rsidR="00154A62">
              <w:rPr>
                <w:rFonts w:eastAsia="Times New Roman CYR"/>
              </w:rPr>
              <w:t>8</w:t>
            </w:r>
            <w:r w:rsidR="0031635B">
              <w:rPr>
                <w:rFonts w:eastAsia="Times New Roman CYR"/>
              </w:rPr>
              <w:t>2</w:t>
            </w:r>
            <w:r w:rsidR="00796303" w:rsidRPr="00837765">
              <w:rPr>
                <w:rFonts w:eastAsia="Times New Roman CYR"/>
              </w:rPr>
              <w:t>-р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6C5" w:rsidRPr="0002729A" w:rsidRDefault="004E0450" w:rsidP="00A33AC1">
            <w:pPr>
              <w:pStyle w:val="a4"/>
            </w:pPr>
            <w:r w:rsidRPr="0002729A">
              <w:rPr>
                <w:b/>
              </w:rPr>
              <w:t xml:space="preserve">- </w:t>
            </w:r>
            <w:r w:rsidR="000D48B6" w:rsidRPr="0002729A">
              <w:rPr>
                <w:b/>
              </w:rPr>
              <w:t>Лот</w:t>
            </w:r>
            <w:r w:rsidR="00171D32" w:rsidRPr="0002729A">
              <w:rPr>
                <w:b/>
              </w:rPr>
              <w:t xml:space="preserve"> №</w:t>
            </w:r>
            <w:r w:rsidR="000D48B6" w:rsidRPr="0002729A">
              <w:rPr>
                <w:b/>
              </w:rPr>
              <w:t xml:space="preserve"> 1</w:t>
            </w:r>
            <w:r w:rsidR="00AD34BE" w:rsidRPr="0002729A">
              <w:t xml:space="preserve"> </w:t>
            </w:r>
            <w:r w:rsidR="0002729A" w:rsidRPr="0002729A">
              <w:rPr>
                <w:snapToGrid w:val="0"/>
              </w:rPr>
              <w:t xml:space="preserve">земельный участок, категория земель: земли населенных пунктов, вид разрешенного использования: земельные участки для размещения административных и офисных зданий, площадью 21 кв.м., кадастровый номер 64:15:281915:62 и расположенное на нем нежилое здание, площадью 9,2 кв.м., кадастровый номер 64:15:281915:61, по адресу: Саратовская область, Калининский район, </w:t>
            </w:r>
            <w:proofErr w:type="gramStart"/>
            <w:r w:rsidR="0002729A" w:rsidRPr="0002729A">
              <w:rPr>
                <w:snapToGrid w:val="0"/>
              </w:rPr>
              <w:t>г</w:t>
            </w:r>
            <w:proofErr w:type="gramEnd"/>
            <w:r w:rsidR="0002729A" w:rsidRPr="0002729A">
              <w:rPr>
                <w:snapToGrid w:val="0"/>
              </w:rPr>
              <w:t>. Калининск, ул. Чехова, 51-1В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12" w:rsidRPr="00EC5C12" w:rsidRDefault="000D48B6" w:rsidP="00EC5C12">
            <w:pPr>
              <w:pStyle w:val="a4"/>
              <w:ind w:firstLine="567"/>
            </w:pPr>
            <w:proofErr w:type="gramStart"/>
            <w:r w:rsidRPr="00EC5C12">
              <w:rPr>
                <w:b/>
              </w:rPr>
              <w:t>Лот</w:t>
            </w:r>
            <w:r w:rsidR="00171D32" w:rsidRPr="00EC5C12">
              <w:rPr>
                <w:b/>
              </w:rPr>
              <w:t xml:space="preserve"> №</w:t>
            </w:r>
            <w:r w:rsidRPr="00EC5C12">
              <w:rPr>
                <w:b/>
              </w:rPr>
              <w:t xml:space="preserve"> 1</w:t>
            </w:r>
            <w:r w:rsidR="00021669" w:rsidRPr="00EC5C12">
              <w:t xml:space="preserve"> – </w:t>
            </w:r>
            <w:r w:rsidR="00EC5C12" w:rsidRPr="00EC5C12">
              <w:rPr>
                <w:b/>
              </w:rPr>
              <w:t>125 218 (сто двадцать пять тысяч двести восемнадцать) рублей 00 копеек</w:t>
            </w:r>
            <w:r w:rsidR="00EC5C12" w:rsidRPr="00EC5C12">
              <w:t xml:space="preserve"> </w:t>
            </w:r>
            <w:r w:rsidR="00EC5C12" w:rsidRPr="00EC5C12">
              <w:rPr>
                <w:b/>
              </w:rPr>
              <w:t xml:space="preserve">без учета НДС, </w:t>
            </w:r>
            <w:r w:rsidR="00EC5C12" w:rsidRPr="00EC5C12">
              <w:t>в том числе</w:t>
            </w:r>
            <w:r w:rsidR="00EC5C12" w:rsidRPr="00EC5C12">
              <w:rPr>
                <w:b/>
              </w:rPr>
              <w:t xml:space="preserve"> начальная цена продажи земельного участка 43 000 (сорок три тысячи) рублей 00 копеек НДС не облагается, </w:t>
            </w:r>
            <w:r w:rsidR="00EC5C12" w:rsidRPr="00EC5C12">
              <w:t xml:space="preserve">шаг аукциона (величина повышения начальной цены) </w:t>
            </w:r>
            <w:r w:rsidR="00EC5C12" w:rsidRPr="00EC5C12">
              <w:rPr>
                <w:b/>
              </w:rPr>
              <w:t xml:space="preserve">6 261 (шесть тысяч двести шестьдесят один) рубль 00 копеек, </w:t>
            </w:r>
            <w:r w:rsidR="00EC5C12" w:rsidRPr="00EC5C12">
              <w:t xml:space="preserve">размер задатка, равный 10% начальной стоимости объекта, составляет </w:t>
            </w:r>
            <w:r w:rsidR="00EC5C12" w:rsidRPr="00EC5C12">
              <w:rPr>
                <w:b/>
              </w:rPr>
              <w:t>12</w:t>
            </w:r>
            <w:proofErr w:type="gramEnd"/>
            <w:r w:rsidR="00EC5C12" w:rsidRPr="00EC5C12">
              <w:rPr>
                <w:b/>
              </w:rPr>
              <w:t xml:space="preserve"> 522 (двенадцать тысяч пятьсот двадцать два) рубля 00 копеек без учета НДС</w:t>
            </w:r>
            <w:r w:rsidR="00EC5C12" w:rsidRPr="00EC5C12">
              <w:t>.</w:t>
            </w:r>
          </w:p>
          <w:p w:rsidR="00596B03" w:rsidRPr="00837765" w:rsidRDefault="00054B35" w:rsidP="00054B35">
            <w:pPr>
              <w:pStyle w:val="a4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385FC9" w:rsidRPr="00837765">
              <w:t xml:space="preserve">оценке № </w:t>
            </w:r>
            <w:r w:rsidR="00C22A08">
              <w:t>169</w:t>
            </w:r>
            <w:r w:rsidR="00CF05A8">
              <w:t>0</w:t>
            </w:r>
            <w:r w:rsidR="004A72C9" w:rsidRPr="00837765">
              <w:t>/2</w:t>
            </w:r>
            <w:r w:rsidR="002F552B" w:rsidRPr="00837765">
              <w:t>3</w:t>
            </w:r>
            <w:r w:rsidR="004A72C9" w:rsidRPr="00837765">
              <w:t xml:space="preserve"> от</w:t>
            </w:r>
            <w:r w:rsidR="00385FC9" w:rsidRPr="00837765">
              <w:t xml:space="preserve"> </w:t>
            </w:r>
            <w:r w:rsidR="002F552B" w:rsidRPr="00837765">
              <w:t>03.04.2023</w:t>
            </w:r>
            <w:r w:rsidR="00385FC9" w:rsidRPr="00837765">
              <w:t>г.</w:t>
            </w:r>
          </w:p>
          <w:p w:rsidR="00876765" w:rsidRPr="00837765" w:rsidRDefault="00876765" w:rsidP="00A709A3">
            <w:pPr>
              <w:pStyle w:val="a4"/>
            </w:pP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</w:t>
            </w:r>
            <w:r w:rsidRPr="00837765">
              <w:lastRenderedPageBreak/>
              <w:t>имущества.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92436E">
              <w:rPr>
                <w:b/>
                <w:color w:val="000000"/>
              </w:rPr>
              <w:t>16.05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92436E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92436E">
              <w:rPr>
                <w:b/>
                <w:color w:val="000000"/>
              </w:rPr>
              <w:t>14.06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lastRenderedPageBreak/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</w:t>
            </w:r>
            <w:r w:rsidRPr="00837765">
              <w:lastRenderedPageBreak/>
              <w:t xml:space="preserve">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5A45AC" w:rsidP="0011017D">
            <w:pPr>
              <w:pStyle w:val="a4"/>
            </w:pPr>
            <w:r w:rsidRPr="00837765">
              <w:t>Не проводились.</w:t>
            </w:r>
            <w:r w:rsidR="005F29BF" w:rsidRPr="00837765">
              <w:t xml:space="preserve"> </w:t>
            </w:r>
            <w:r w:rsidR="00BD65F6" w:rsidRPr="00837765">
              <w:t xml:space="preserve"> </w:t>
            </w: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</w:t>
      </w:r>
      <w:proofErr w:type="gramStart"/>
      <w:r w:rsidR="00A15B4B" w:rsidRPr="00837765">
        <w:rPr>
          <w:color w:val="000000"/>
        </w:rPr>
        <w:t>г</w:t>
      </w:r>
      <w:proofErr w:type="gramEnd"/>
      <w:r w:rsidR="00A15B4B" w:rsidRPr="00837765">
        <w:rPr>
          <w:color w:val="000000"/>
        </w:rPr>
        <w:t>. Калининск, ул. Коллективная, 61, адре</w:t>
      </w:r>
      <w:r w:rsidRPr="00837765">
        <w:rPr>
          <w:color w:val="000000"/>
        </w:rPr>
        <w:t>с электронной почты: </w:t>
      </w:r>
      <w:proofErr w:type="spellStart"/>
      <w:r w:rsidR="00A15B4B" w:rsidRPr="00837765">
        <w:rPr>
          <w:color w:val="000000"/>
          <w:lang w:val="en-US"/>
        </w:rPr>
        <w:t>kalininsk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uzio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A15B4B" w:rsidRPr="00837765">
        <w:rPr>
          <w:color w:val="000000"/>
        </w:rPr>
        <w:t>Умришова</w:t>
      </w:r>
      <w:proofErr w:type="spellEnd"/>
      <w:r w:rsidR="00A15B4B" w:rsidRPr="00837765">
        <w:rPr>
          <w:color w:val="000000"/>
        </w:rPr>
        <w:t xml:space="preserve"> Елена Николаевна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Pr="00837765">
        <w:rPr>
          <w:color w:val="000000"/>
        </w:rPr>
        <w:t xml:space="preserve">) </w:t>
      </w:r>
      <w:r w:rsidR="00A15B4B" w:rsidRPr="00837765">
        <w:rPr>
          <w:color w:val="000000"/>
        </w:rPr>
        <w:t>3-10-36.</w:t>
      </w:r>
    </w:p>
    <w:p w:rsidR="000218A9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DD6C9F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>1.4. Основание продажи: </w:t>
      </w:r>
      <w:proofErr w:type="gramStart"/>
      <w:r w:rsidR="00B2084C" w:rsidRPr="00837765">
        <w:rPr>
          <w:color w:val="000000"/>
        </w:rPr>
        <w:t>Решение Калининского районного Собрания Калининского муниципального района Саратовской области от 16 декабря 2022 г. № 79-501 «Об утверждении Прогнозного плана (Программы) приватизации имущества, находящегося в собственности Калининского муниципального района на 2023 год» (с изменениями и дополнениями)</w:t>
      </w:r>
      <w:r w:rsidR="00E8349B" w:rsidRPr="00837765">
        <w:t xml:space="preserve">, распоряжение администрации Калининского муниципального района Саратовской области от </w:t>
      </w:r>
      <w:r w:rsidR="00D1768F">
        <w:t>10 мая</w:t>
      </w:r>
      <w:r w:rsidR="00E8349B" w:rsidRPr="00837765">
        <w:t xml:space="preserve"> 202</w:t>
      </w:r>
      <w:r w:rsidR="00967F20" w:rsidRPr="00837765">
        <w:t>3</w:t>
      </w:r>
      <w:r w:rsidR="00E8349B" w:rsidRPr="00837765">
        <w:t xml:space="preserve"> года № </w:t>
      </w:r>
      <w:r w:rsidR="00D1768F">
        <w:t>81</w:t>
      </w:r>
      <w:r w:rsidR="00E8349B" w:rsidRPr="00837765">
        <w:t>-р «Об утверждении условий приватизации муниципального имущества»</w:t>
      </w:r>
      <w:r w:rsidR="00277F80" w:rsidRPr="00837765">
        <w:t>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1.5. Сведения об обременениях имущества: 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AD773B" w:rsidRPr="00837765">
        <w:t>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</w:t>
      </w:r>
      <w:r w:rsidRPr="00837765">
        <w:rPr>
          <w:color w:val="000000"/>
        </w:rPr>
        <w:lastRenderedPageBreak/>
        <w:t>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E4194B">
        <w:rPr>
          <w:color w:val="000000"/>
        </w:rPr>
        <w:t>16.05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E4194B">
        <w:rPr>
          <w:color w:val="000000"/>
        </w:rPr>
        <w:t>14.06</w:t>
      </w:r>
      <w:r w:rsidR="00205BB1" w:rsidRPr="00837765">
        <w:rPr>
          <w:color w:val="000000"/>
        </w:rPr>
        <w:t>.2023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E4194B">
        <w:rPr>
          <w:color w:val="000000"/>
        </w:rPr>
        <w:t>15.06</w:t>
      </w:r>
      <w:r w:rsidR="009E0B5D" w:rsidRPr="00837765">
        <w:rPr>
          <w:color w:val="000000"/>
        </w:rPr>
        <w:t>.2023</w:t>
      </w:r>
      <w:r w:rsidRPr="00837765">
        <w:rPr>
          <w:color w:val="000000"/>
        </w:rPr>
        <w:t xml:space="preserve"> в </w:t>
      </w:r>
      <w:r w:rsidR="006B0897">
        <w:rPr>
          <w:color w:val="000000"/>
        </w:rPr>
        <w:t>09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E4194B">
        <w:rPr>
          <w:color w:val="000000"/>
        </w:rPr>
        <w:t>16.06</w:t>
      </w:r>
      <w:r w:rsidR="001C3C9E" w:rsidRPr="00837765">
        <w:rPr>
          <w:color w:val="000000"/>
        </w:rPr>
        <w:t>.2023</w:t>
      </w:r>
      <w:r w:rsidRPr="00837765">
        <w:rPr>
          <w:color w:val="000000"/>
        </w:rPr>
        <w:t xml:space="preserve"> в </w:t>
      </w:r>
      <w:r w:rsidR="006B0897">
        <w:rPr>
          <w:color w:val="000000"/>
        </w:rPr>
        <w:t>12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lastRenderedPageBreak/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lastRenderedPageBreak/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 xml:space="preserve"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</w:t>
      </w:r>
      <w:r w:rsidR="00D9082D" w:rsidRPr="00837765">
        <w:lastRenderedPageBreak/>
        <w:t>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lastRenderedPageBreak/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2729A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A6869"/>
    <w:rsid w:val="000B574B"/>
    <w:rsid w:val="000C3B25"/>
    <w:rsid w:val="000C6C51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A62"/>
    <w:rsid w:val="00156BD8"/>
    <w:rsid w:val="00163191"/>
    <w:rsid w:val="00171D32"/>
    <w:rsid w:val="001736EE"/>
    <w:rsid w:val="0018070F"/>
    <w:rsid w:val="001A4AF5"/>
    <w:rsid w:val="001B2937"/>
    <w:rsid w:val="001B46B8"/>
    <w:rsid w:val="001C3C9E"/>
    <w:rsid w:val="001F0CC0"/>
    <w:rsid w:val="00205BB1"/>
    <w:rsid w:val="00215621"/>
    <w:rsid w:val="00217354"/>
    <w:rsid w:val="00227939"/>
    <w:rsid w:val="00252B9D"/>
    <w:rsid w:val="00256C72"/>
    <w:rsid w:val="00260A6D"/>
    <w:rsid w:val="00265B54"/>
    <w:rsid w:val="00277F80"/>
    <w:rsid w:val="002868BC"/>
    <w:rsid w:val="0029533F"/>
    <w:rsid w:val="002A678B"/>
    <w:rsid w:val="002B3313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1635B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102F0"/>
    <w:rsid w:val="00417C5A"/>
    <w:rsid w:val="00422434"/>
    <w:rsid w:val="00425D7A"/>
    <w:rsid w:val="004332E0"/>
    <w:rsid w:val="00435DC2"/>
    <w:rsid w:val="004400D5"/>
    <w:rsid w:val="00461AF5"/>
    <w:rsid w:val="00464966"/>
    <w:rsid w:val="00467E43"/>
    <w:rsid w:val="0047095E"/>
    <w:rsid w:val="004872C8"/>
    <w:rsid w:val="00490950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60026A"/>
    <w:rsid w:val="00600AFA"/>
    <w:rsid w:val="00612933"/>
    <w:rsid w:val="00614969"/>
    <w:rsid w:val="006253CE"/>
    <w:rsid w:val="00633403"/>
    <w:rsid w:val="00641210"/>
    <w:rsid w:val="00675193"/>
    <w:rsid w:val="00680C64"/>
    <w:rsid w:val="00681DED"/>
    <w:rsid w:val="00686F03"/>
    <w:rsid w:val="00692A59"/>
    <w:rsid w:val="00694861"/>
    <w:rsid w:val="006B0897"/>
    <w:rsid w:val="006B15CB"/>
    <w:rsid w:val="006B2C3C"/>
    <w:rsid w:val="006D00A1"/>
    <w:rsid w:val="006D0CC5"/>
    <w:rsid w:val="006D70FB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B645E"/>
    <w:rsid w:val="007F45B4"/>
    <w:rsid w:val="007F72AF"/>
    <w:rsid w:val="00802923"/>
    <w:rsid w:val="00812816"/>
    <w:rsid w:val="00812917"/>
    <w:rsid w:val="00836D1F"/>
    <w:rsid w:val="00837765"/>
    <w:rsid w:val="008542AA"/>
    <w:rsid w:val="00871B92"/>
    <w:rsid w:val="00876765"/>
    <w:rsid w:val="008D2B89"/>
    <w:rsid w:val="008E310A"/>
    <w:rsid w:val="00901D40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5159"/>
    <w:rsid w:val="00967F20"/>
    <w:rsid w:val="00971429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B025A"/>
    <w:rsid w:val="00AB0B36"/>
    <w:rsid w:val="00AD34BE"/>
    <w:rsid w:val="00AD773B"/>
    <w:rsid w:val="00AE25D2"/>
    <w:rsid w:val="00AE40D1"/>
    <w:rsid w:val="00AF1E61"/>
    <w:rsid w:val="00AF4B55"/>
    <w:rsid w:val="00B11464"/>
    <w:rsid w:val="00B2084C"/>
    <w:rsid w:val="00B30FCC"/>
    <w:rsid w:val="00B3562A"/>
    <w:rsid w:val="00B405EF"/>
    <w:rsid w:val="00B67F0C"/>
    <w:rsid w:val="00B77E08"/>
    <w:rsid w:val="00B80921"/>
    <w:rsid w:val="00B966E4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F385D"/>
    <w:rsid w:val="00C01D0D"/>
    <w:rsid w:val="00C0624E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A1CCD"/>
    <w:rsid w:val="00CB1365"/>
    <w:rsid w:val="00CD1E70"/>
    <w:rsid w:val="00CD2B15"/>
    <w:rsid w:val="00CD37A1"/>
    <w:rsid w:val="00CE5271"/>
    <w:rsid w:val="00CF05A8"/>
    <w:rsid w:val="00CF6674"/>
    <w:rsid w:val="00D011F5"/>
    <w:rsid w:val="00D01996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6222F"/>
    <w:rsid w:val="00D62BF8"/>
    <w:rsid w:val="00D71C5D"/>
    <w:rsid w:val="00D77159"/>
    <w:rsid w:val="00D84F38"/>
    <w:rsid w:val="00D876C5"/>
    <w:rsid w:val="00D9082D"/>
    <w:rsid w:val="00DA06BA"/>
    <w:rsid w:val="00DA4BC5"/>
    <w:rsid w:val="00DD0779"/>
    <w:rsid w:val="00DD461A"/>
    <w:rsid w:val="00DD6C9F"/>
    <w:rsid w:val="00DF62A8"/>
    <w:rsid w:val="00DF6526"/>
    <w:rsid w:val="00E20EC6"/>
    <w:rsid w:val="00E4194B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5C12"/>
    <w:rsid w:val="00EC67DB"/>
    <w:rsid w:val="00EE6DD9"/>
    <w:rsid w:val="00EF35B6"/>
    <w:rsid w:val="00EF4E1D"/>
    <w:rsid w:val="00F26B20"/>
    <w:rsid w:val="00F324FA"/>
    <w:rsid w:val="00F32EF6"/>
    <w:rsid w:val="00F5769C"/>
    <w:rsid w:val="00F702FE"/>
    <w:rsid w:val="00F73C37"/>
    <w:rsid w:val="00F83B98"/>
    <w:rsid w:val="00F90F3C"/>
    <w:rsid w:val="00FA13AB"/>
    <w:rsid w:val="00FB01C3"/>
    <w:rsid w:val="00FB6EF4"/>
    <w:rsid w:val="00FD55A5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10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303</cp:revision>
  <cp:lastPrinted>2022-11-23T07:08:00Z</cp:lastPrinted>
  <dcterms:created xsi:type="dcterms:W3CDTF">2020-07-17T10:39:00Z</dcterms:created>
  <dcterms:modified xsi:type="dcterms:W3CDTF">2023-05-11T11:35:00Z</dcterms:modified>
</cp:coreProperties>
</file>