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4B" w:rsidRDefault="002E476B" w:rsidP="00EF0EEE">
      <w:pPr>
        <w:rPr>
          <w:rFonts w:ascii="Times New Roman" w:hAnsi="Times New Roman"/>
          <w:b/>
          <w:sz w:val="28"/>
          <w:szCs w:val="28"/>
        </w:rPr>
      </w:pPr>
      <w:r w:rsidRPr="005B3B49">
        <w:rPr>
          <w:rFonts w:ascii="Times New Roman" w:hAnsi="Times New Roman"/>
          <w:b/>
          <w:sz w:val="28"/>
          <w:szCs w:val="28"/>
        </w:rPr>
        <w:t xml:space="preserve">Годовой отчет </w:t>
      </w:r>
      <w:r w:rsidR="00213D70" w:rsidRPr="005B3B49">
        <w:rPr>
          <w:rFonts w:ascii="Times New Roman" w:hAnsi="Times New Roman"/>
          <w:b/>
          <w:sz w:val="28"/>
          <w:szCs w:val="28"/>
        </w:rPr>
        <w:t xml:space="preserve">об исполнении мероприятий муниципальной программы </w:t>
      </w:r>
      <w:r w:rsidR="00EF0EEE" w:rsidRPr="005B3B49">
        <w:rPr>
          <w:rFonts w:ascii="Times New Roman" w:hAnsi="Times New Roman"/>
          <w:b/>
          <w:sz w:val="28"/>
          <w:szCs w:val="28"/>
        </w:rPr>
        <w:t>«</w:t>
      </w:r>
      <w:r w:rsidR="00AD3F4B">
        <w:rPr>
          <w:rFonts w:ascii="Times New Roman" w:hAnsi="Times New Roman"/>
          <w:b/>
          <w:sz w:val="28"/>
          <w:szCs w:val="28"/>
        </w:rPr>
        <w:t>Обесп</w:t>
      </w:r>
      <w:r w:rsidR="00AD3F4B">
        <w:rPr>
          <w:rFonts w:ascii="Times New Roman" w:hAnsi="Times New Roman" w:cstheme="minorBidi"/>
          <w:b/>
          <w:sz w:val="28"/>
          <w:szCs w:val="25"/>
          <w:lang w:bidi="hi-IN"/>
        </w:rPr>
        <w:t>ечение</w:t>
      </w:r>
      <w:r w:rsidR="00AD3F4B" w:rsidRPr="00AD3F4B">
        <w:rPr>
          <w:rFonts w:ascii="Times New Roman" w:hAnsi="Times New Roman"/>
          <w:b/>
          <w:sz w:val="28"/>
          <w:szCs w:val="28"/>
        </w:rPr>
        <w:t xml:space="preserve"> </w:t>
      </w:r>
      <w:r w:rsidR="00EF0EEE" w:rsidRPr="005B3B49">
        <w:rPr>
          <w:rFonts w:ascii="Times New Roman" w:hAnsi="Times New Roman"/>
          <w:b/>
          <w:sz w:val="28"/>
          <w:szCs w:val="28"/>
        </w:rPr>
        <w:t xml:space="preserve"> </w:t>
      </w:r>
      <w:r w:rsidR="00AD3F4B">
        <w:rPr>
          <w:rFonts w:ascii="Times New Roman" w:hAnsi="Times New Roman"/>
          <w:b/>
          <w:sz w:val="28"/>
          <w:szCs w:val="28"/>
        </w:rPr>
        <w:t xml:space="preserve">защиты прав потребителей </w:t>
      </w:r>
      <w:r w:rsidR="00EF0EEE" w:rsidRPr="005B3B49">
        <w:rPr>
          <w:rFonts w:ascii="Times New Roman" w:hAnsi="Times New Roman"/>
          <w:b/>
          <w:sz w:val="28"/>
          <w:szCs w:val="28"/>
        </w:rPr>
        <w:t>в Калининс</w:t>
      </w:r>
      <w:r w:rsidR="00E67419" w:rsidRPr="005B3B49">
        <w:rPr>
          <w:rFonts w:ascii="Times New Roman" w:hAnsi="Times New Roman"/>
          <w:b/>
          <w:sz w:val="28"/>
          <w:szCs w:val="28"/>
        </w:rPr>
        <w:t>ком муниципальном районе</w:t>
      </w:r>
      <w:r w:rsidR="00AD3F4B">
        <w:rPr>
          <w:rFonts w:ascii="Times New Roman" w:hAnsi="Times New Roman"/>
          <w:b/>
          <w:sz w:val="28"/>
          <w:szCs w:val="28"/>
        </w:rPr>
        <w:t xml:space="preserve"> Саратовской области  </w:t>
      </w:r>
      <w:r w:rsidR="00E67419" w:rsidRPr="005B3B49">
        <w:rPr>
          <w:rFonts w:ascii="Times New Roman" w:hAnsi="Times New Roman"/>
          <w:b/>
          <w:sz w:val="28"/>
          <w:szCs w:val="28"/>
        </w:rPr>
        <w:t>на 20</w:t>
      </w:r>
      <w:r w:rsidR="00AD3F4B">
        <w:rPr>
          <w:rFonts w:ascii="Times New Roman" w:hAnsi="Times New Roman"/>
          <w:b/>
          <w:sz w:val="28"/>
          <w:szCs w:val="28"/>
        </w:rPr>
        <w:t>22</w:t>
      </w:r>
      <w:r w:rsidR="00EF0EEE" w:rsidRPr="005B3B49">
        <w:rPr>
          <w:rFonts w:ascii="Times New Roman" w:hAnsi="Times New Roman"/>
          <w:b/>
          <w:sz w:val="28"/>
          <w:szCs w:val="28"/>
        </w:rPr>
        <w:t>-20</w:t>
      </w:r>
      <w:r w:rsidR="00E67419" w:rsidRPr="005B3B49">
        <w:rPr>
          <w:rFonts w:ascii="Times New Roman" w:hAnsi="Times New Roman"/>
          <w:b/>
          <w:sz w:val="28"/>
          <w:szCs w:val="28"/>
        </w:rPr>
        <w:t>2</w:t>
      </w:r>
      <w:r w:rsidR="00AD3F4B">
        <w:rPr>
          <w:rFonts w:ascii="Times New Roman" w:hAnsi="Times New Roman"/>
          <w:b/>
          <w:sz w:val="28"/>
          <w:szCs w:val="28"/>
        </w:rPr>
        <w:t>5</w:t>
      </w:r>
      <w:r w:rsidR="00EF0EEE" w:rsidRPr="005B3B49">
        <w:rPr>
          <w:rFonts w:ascii="Times New Roman" w:hAnsi="Times New Roman"/>
          <w:b/>
          <w:sz w:val="28"/>
          <w:szCs w:val="28"/>
        </w:rPr>
        <w:t xml:space="preserve"> годы»</w:t>
      </w:r>
      <w:r w:rsidRPr="005B3B49">
        <w:rPr>
          <w:rFonts w:ascii="Times New Roman" w:hAnsi="Times New Roman"/>
          <w:b/>
          <w:sz w:val="28"/>
          <w:szCs w:val="28"/>
        </w:rPr>
        <w:t xml:space="preserve"> </w:t>
      </w:r>
    </w:p>
    <w:p w:rsidR="00EF0EEE" w:rsidRPr="005B3B49" w:rsidRDefault="00AD3F4B" w:rsidP="00EF0EEE">
      <w:pPr>
        <w:rPr>
          <w:rFonts w:ascii="Times New Roman" w:hAnsi="Times New Roman"/>
          <w:b/>
          <w:sz w:val="28"/>
          <w:szCs w:val="28"/>
        </w:rPr>
      </w:pPr>
      <w:r>
        <w:rPr>
          <w:rFonts w:ascii="Times New Roman" w:hAnsi="Times New Roman"/>
          <w:b/>
          <w:sz w:val="28"/>
          <w:szCs w:val="28"/>
        </w:rPr>
        <w:t>по итогам  2022 года</w:t>
      </w:r>
    </w:p>
    <w:p w:rsidR="00ED418A" w:rsidRPr="005B3B49" w:rsidRDefault="00ED418A" w:rsidP="00ED418A">
      <w:pPr>
        <w:ind w:firstLine="708"/>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2"/>
        <w:gridCol w:w="1763"/>
        <w:gridCol w:w="1843"/>
        <w:gridCol w:w="1461"/>
        <w:gridCol w:w="2020"/>
      </w:tblGrid>
      <w:tr w:rsidR="00ED418A" w:rsidRPr="005B3B49" w:rsidTr="005557B4">
        <w:tc>
          <w:tcPr>
            <w:tcW w:w="540" w:type="dxa"/>
            <w:vMerge w:val="restart"/>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 п/п</w:t>
            </w:r>
          </w:p>
        </w:tc>
        <w:tc>
          <w:tcPr>
            <w:tcW w:w="2262" w:type="dxa"/>
            <w:vMerge w:val="restart"/>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Наименование муниципальной программы</w:t>
            </w:r>
          </w:p>
        </w:tc>
        <w:tc>
          <w:tcPr>
            <w:tcW w:w="3606" w:type="dxa"/>
            <w:gridSpan w:val="2"/>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Объем финансирования, тыс. руб.</w:t>
            </w:r>
          </w:p>
        </w:tc>
        <w:tc>
          <w:tcPr>
            <w:tcW w:w="1461" w:type="dxa"/>
            <w:vMerge w:val="restart"/>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Процент выполнения  4/3*100</w:t>
            </w:r>
          </w:p>
        </w:tc>
        <w:tc>
          <w:tcPr>
            <w:tcW w:w="2020" w:type="dxa"/>
            <w:vMerge w:val="restart"/>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 xml:space="preserve">Причина неполного освоения денежных средств </w:t>
            </w:r>
          </w:p>
        </w:tc>
      </w:tr>
      <w:tr w:rsidR="00ED418A" w:rsidRPr="005B3B49" w:rsidTr="005557B4">
        <w:tc>
          <w:tcPr>
            <w:tcW w:w="540" w:type="dxa"/>
            <w:vMerge/>
          </w:tcPr>
          <w:p w:rsidR="00ED418A" w:rsidRPr="005B3B49" w:rsidRDefault="00ED418A" w:rsidP="005557B4">
            <w:pPr>
              <w:jc w:val="both"/>
              <w:rPr>
                <w:rFonts w:ascii="Times New Roman" w:hAnsi="Times New Roman"/>
                <w:sz w:val="24"/>
                <w:szCs w:val="24"/>
              </w:rPr>
            </w:pPr>
          </w:p>
        </w:tc>
        <w:tc>
          <w:tcPr>
            <w:tcW w:w="2262" w:type="dxa"/>
            <w:vMerge/>
          </w:tcPr>
          <w:p w:rsidR="00ED418A" w:rsidRPr="005B3B49" w:rsidRDefault="00ED418A" w:rsidP="005557B4">
            <w:pPr>
              <w:jc w:val="both"/>
              <w:rPr>
                <w:rFonts w:ascii="Times New Roman" w:hAnsi="Times New Roman"/>
                <w:sz w:val="24"/>
                <w:szCs w:val="24"/>
              </w:rPr>
            </w:pPr>
          </w:p>
        </w:tc>
        <w:tc>
          <w:tcPr>
            <w:tcW w:w="1763" w:type="dxa"/>
          </w:tcPr>
          <w:p w:rsidR="00ED418A" w:rsidRPr="005B3B49" w:rsidRDefault="00ED418A" w:rsidP="00AD3F4B">
            <w:pPr>
              <w:jc w:val="both"/>
              <w:rPr>
                <w:rFonts w:ascii="Times New Roman" w:hAnsi="Times New Roman"/>
                <w:sz w:val="24"/>
                <w:szCs w:val="24"/>
              </w:rPr>
            </w:pPr>
            <w:r w:rsidRPr="005B3B49">
              <w:rPr>
                <w:rFonts w:ascii="Times New Roman" w:hAnsi="Times New Roman"/>
                <w:sz w:val="24"/>
                <w:szCs w:val="24"/>
              </w:rPr>
              <w:t>Запланировано выделение средств по программе на 20</w:t>
            </w:r>
            <w:r w:rsidR="00D663B7" w:rsidRPr="005B3B49">
              <w:rPr>
                <w:rFonts w:ascii="Times New Roman" w:hAnsi="Times New Roman"/>
                <w:sz w:val="24"/>
                <w:szCs w:val="24"/>
              </w:rPr>
              <w:t>2</w:t>
            </w:r>
            <w:r w:rsidR="00AD3F4B">
              <w:rPr>
                <w:rFonts w:ascii="Times New Roman" w:hAnsi="Times New Roman"/>
                <w:sz w:val="24"/>
                <w:szCs w:val="24"/>
              </w:rPr>
              <w:t>2</w:t>
            </w:r>
            <w:r w:rsidRPr="005B3B49">
              <w:rPr>
                <w:rFonts w:ascii="Times New Roman" w:hAnsi="Times New Roman"/>
                <w:sz w:val="24"/>
                <w:szCs w:val="24"/>
              </w:rPr>
              <w:t xml:space="preserve"> год, (тыс. руб.)</w:t>
            </w:r>
          </w:p>
        </w:tc>
        <w:tc>
          <w:tcPr>
            <w:tcW w:w="1843" w:type="dxa"/>
          </w:tcPr>
          <w:p w:rsidR="00ED418A" w:rsidRPr="005B3B49" w:rsidRDefault="00ED418A" w:rsidP="00AD3F4B">
            <w:pPr>
              <w:jc w:val="both"/>
              <w:rPr>
                <w:rFonts w:ascii="Times New Roman" w:hAnsi="Times New Roman"/>
                <w:sz w:val="24"/>
                <w:szCs w:val="24"/>
              </w:rPr>
            </w:pPr>
            <w:r w:rsidRPr="005B3B49">
              <w:rPr>
                <w:rFonts w:ascii="Times New Roman" w:hAnsi="Times New Roman"/>
                <w:sz w:val="24"/>
                <w:szCs w:val="24"/>
              </w:rPr>
              <w:t>Освоено средств по муниципальной программе в 20</w:t>
            </w:r>
            <w:r w:rsidR="00D663B7" w:rsidRPr="005B3B49">
              <w:rPr>
                <w:rFonts w:ascii="Times New Roman" w:hAnsi="Times New Roman"/>
                <w:sz w:val="24"/>
                <w:szCs w:val="24"/>
              </w:rPr>
              <w:t>2</w:t>
            </w:r>
            <w:r w:rsidR="00AD3F4B">
              <w:rPr>
                <w:rFonts w:ascii="Times New Roman" w:hAnsi="Times New Roman"/>
                <w:sz w:val="24"/>
                <w:szCs w:val="24"/>
              </w:rPr>
              <w:t>2</w:t>
            </w:r>
            <w:r w:rsidRPr="005B3B49">
              <w:rPr>
                <w:rFonts w:ascii="Times New Roman" w:hAnsi="Times New Roman"/>
                <w:sz w:val="24"/>
                <w:szCs w:val="24"/>
              </w:rPr>
              <w:t xml:space="preserve"> году  (тыс. руб.)</w:t>
            </w:r>
          </w:p>
        </w:tc>
        <w:tc>
          <w:tcPr>
            <w:tcW w:w="1461" w:type="dxa"/>
            <w:vMerge/>
          </w:tcPr>
          <w:p w:rsidR="00ED418A" w:rsidRPr="005B3B49" w:rsidRDefault="00ED418A" w:rsidP="005557B4">
            <w:pPr>
              <w:jc w:val="both"/>
              <w:rPr>
                <w:rFonts w:ascii="Times New Roman" w:hAnsi="Times New Roman"/>
                <w:sz w:val="24"/>
                <w:szCs w:val="24"/>
              </w:rPr>
            </w:pPr>
          </w:p>
        </w:tc>
        <w:tc>
          <w:tcPr>
            <w:tcW w:w="2020" w:type="dxa"/>
            <w:vMerge/>
          </w:tcPr>
          <w:p w:rsidR="00ED418A" w:rsidRPr="005B3B49" w:rsidRDefault="00ED418A" w:rsidP="005557B4">
            <w:pPr>
              <w:jc w:val="both"/>
              <w:rPr>
                <w:rFonts w:ascii="Times New Roman" w:hAnsi="Times New Roman"/>
                <w:sz w:val="24"/>
                <w:szCs w:val="24"/>
              </w:rPr>
            </w:pPr>
          </w:p>
        </w:tc>
      </w:tr>
      <w:tr w:rsidR="00ED418A" w:rsidRPr="005B3B49" w:rsidTr="005557B4">
        <w:trPr>
          <w:trHeight w:val="343"/>
        </w:trPr>
        <w:tc>
          <w:tcPr>
            <w:tcW w:w="540"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1</w:t>
            </w:r>
          </w:p>
        </w:tc>
        <w:tc>
          <w:tcPr>
            <w:tcW w:w="2262"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2</w:t>
            </w:r>
          </w:p>
        </w:tc>
        <w:tc>
          <w:tcPr>
            <w:tcW w:w="1763"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3</w:t>
            </w:r>
          </w:p>
        </w:tc>
        <w:tc>
          <w:tcPr>
            <w:tcW w:w="1843"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4</w:t>
            </w:r>
          </w:p>
        </w:tc>
        <w:tc>
          <w:tcPr>
            <w:tcW w:w="1461"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5</w:t>
            </w:r>
          </w:p>
        </w:tc>
        <w:tc>
          <w:tcPr>
            <w:tcW w:w="2020"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6</w:t>
            </w:r>
          </w:p>
        </w:tc>
      </w:tr>
      <w:tr w:rsidR="00ED418A" w:rsidRPr="005B3B49" w:rsidTr="005557B4">
        <w:tc>
          <w:tcPr>
            <w:tcW w:w="540" w:type="dxa"/>
          </w:tcPr>
          <w:p w:rsidR="00ED418A" w:rsidRPr="005B3B49" w:rsidRDefault="00ED418A" w:rsidP="005557B4">
            <w:pPr>
              <w:jc w:val="both"/>
              <w:rPr>
                <w:rFonts w:ascii="Times New Roman" w:hAnsi="Times New Roman"/>
                <w:sz w:val="24"/>
                <w:szCs w:val="24"/>
              </w:rPr>
            </w:pPr>
            <w:r w:rsidRPr="005B3B49">
              <w:rPr>
                <w:rFonts w:ascii="Times New Roman" w:hAnsi="Times New Roman"/>
                <w:sz w:val="24"/>
                <w:szCs w:val="24"/>
              </w:rPr>
              <w:t>1</w:t>
            </w:r>
          </w:p>
        </w:tc>
        <w:tc>
          <w:tcPr>
            <w:tcW w:w="2262" w:type="dxa"/>
          </w:tcPr>
          <w:p w:rsidR="00ED418A" w:rsidRPr="00AD3F4B" w:rsidRDefault="00AD3F4B" w:rsidP="005557B4">
            <w:pPr>
              <w:jc w:val="both"/>
              <w:rPr>
                <w:rFonts w:ascii="Times New Roman" w:hAnsi="Times New Roman"/>
                <w:bCs/>
                <w:sz w:val="24"/>
                <w:szCs w:val="24"/>
              </w:rPr>
            </w:pPr>
            <w:r w:rsidRPr="00AD3F4B">
              <w:rPr>
                <w:rFonts w:ascii="Times New Roman" w:hAnsi="Times New Roman"/>
                <w:bCs/>
                <w:sz w:val="24"/>
                <w:szCs w:val="24"/>
              </w:rPr>
              <w:t>«Обесп</w:t>
            </w:r>
            <w:r w:rsidRPr="00AD3F4B">
              <w:rPr>
                <w:rFonts w:ascii="Times New Roman" w:hAnsi="Times New Roman" w:cstheme="minorBidi"/>
                <w:bCs/>
                <w:sz w:val="24"/>
                <w:szCs w:val="24"/>
                <w:lang w:bidi="hi-IN"/>
              </w:rPr>
              <w:t>ечение</w:t>
            </w:r>
            <w:r w:rsidRPr="00AD3F4B">
              <w:rPr>
                <w:rFonts w:ascii="Times New Roman" w:hAnsi="Times New Roman"/>
                <w:bCs/>
                <w:sz w:val="24"/>
                <w:szCs w:val="24"/>
              </w:rPr>
              <w:t xml:space="preserve">  защиты прав потребителей в Калининском муниципальном районе Саратовской области  на 2022-2025 годы»</w:t>
            </w:r>
          </w:p>
        </w:tc>
        <w:tc>
          <w:tcPr>
            <w:tcW w:w="1763" w:type="dxa"/>
          </w:tcPr>
          <w:p w:rsidR="00ED418A" w:rsidRPr="005B3B49" w:rsidRDefault="00ED418A" w:rsidP="005557B4">
            <w:pPr>
              <w:rPr>
                <w:rFonts w:ascii="Times New Roman" w:hAnsi="Times New Roman"/>
                <w:sz w:val="24"/>
                <w:szCs w:val="24"/>
              </w:rPr>
            </w:pPr>
            <w:r w:rsidRPr="005B3B49">
              <w:rPr>
                <w:rFonts w:ascii="Times New Roman" w:hAnsi="Times New Roman"/>
                <w:sz w:val="24"/>
                <w:szCs w:val="24"/>
              </w:rPr>
              <w:t>-</w:t>
            </w:r>
          </w:p>
        </w:tc>
        <w:tc>
          <w:tcPr>
            <w:tcW w:w="1843" w:type="dxa"/>
          </w:tcPr>
          <w:p w:rsidR="00ED418A" w:rsidRPr="005B3B49" w:rsidRDefault="00ED418A" w:rsidP="005557B4">
            <w:pPr>
              <w:rPr>
                <w:rFonts w:ascii="Times New Roman" w:hAnsi="Times New Roman"/>
                <w:sz w:val="24"/>
                <w:szCs w:val="24"/>
              </w:rPr>
            </w:pPr>
            <w:r w:rsidRPr="005B3B49">
              <w:rPr>
                <w:rFonts w:ascii="Times New Roman" w:hAnsi="Times New Roman"/>
                <w:sz w:val="24"/>
                <w:szCs w:val="24"/>
              </w:rPr>
              <w:t>-</w:t>
            </w:r>
          </w:p>
        </w:tc>
        <w:tc>
          <w:tcPr>
            <w:tcW w:w="1461" w:type="dxa"/>
          </w:tcPr>
          <w:p w:rsidR="00ED418A" w:rsidRPr="005B3B49" w:rsidRDefault="00ED418A" w:rsidP="005557B4">
            <w:pPr>
              <w:rPr>
                <w:rFonts w:ascii="Times New Roman" w:hAnsi="Times New Roman"/>
                <w:sz w:val="24"/>
                <w:szCs w:val="24"/>
              </w:rPr>
            </w:pPr>
            <w:r w:rsidRPr="005B3B49">
              <w:rPr>
                <w:rFonts w:ascii="Times New Roman" w:hAnsi="Times New Roman"/>
                <w:sz w:val="24"/>
                <w:szCs w:val="24"/>
              </w:rPr>
              <w:t>-</w:t>
            </w:r>
          </w:p>
        </w:tc>
        <w:tc>
          <w:tcPr>
            <w:tcW w:w="2020" w:type="dxa"/>
          </w:tcPr>
          <w:p w:rsidR="00ED418A" w:rsidRPr="005B3B49" w:rsidRDefault="00ED418A" w:rsidP="005557B4">
            <w:pPr>
              <w:jc w:val="left"/>
              <w:rPr>
                <w:rFonts w:ascii="Times New Roman" w:hAnsi="Times New Roman"/>
                <w:sz w:val="24"/>
                <w:szCs w:val="24"/>
              </w:rPr>
            </w:pPr>
            <w:r w:rsidRPr="005B3B49">
              <w:rPr>
                <w:rFonts w:ascii="Times New Roman" w:hAnsi="Times New Roman"/>
                <w:sz w:val="24"/>
                <w:szCs w:val="24"/>
              </w:rPr>
              <w:t>На реализацию мероприятий программы финансирование не предусматривалось.</w:t>
            </w:r>
          </w:p>
          <w:p w:rsidR="00ED418A" w:rsidRPr="005B3B49" w:rsidRDefault="00ED418A" w:rsidP="005557B4">
            <w:pPr>
              <w:pStyle w:val="a4"/>
              <w:rPr>
                <w:sz w:val="24"/>
                <w:szCs w:val="24"/>
              </w:rPr>
            </w:pPr>
          </w:p>
        </w:tc>
      </w:tr>
    </w:tbl>
    <w:p w:rsidR="00ED418A" w:rsidRPr="005B3B49" w:rsidRDefault="00ED418A" w:rsidP="00ED418A">
      <w:pPr>
        <w:rPr>
          <w:rFonts w:ascii="Times New Roman" w:hAnsi="Times New Roman"/>
          <w:b/>
          <w:color w:val="000000"/>
          <w:sz w:val="27"/>
          <w:szCs w:val="27"/>
        </w:rPr>
      </w:pPr>
    </w:p>
    <w:p w:rsidR="00ED418A" w:rsidRPr="005B3B49" w:rsidRDefault="00ED418A" w:rsidP="00ED418A">
      <w:pPr>
        <w:rPr>
          <w:rFonts w:ascii="Times New Roman" w:hAnsi="Times New Roman"/>
          <w:b/>
          <w:color w:val="000000"/>
          <w:sz w:val="27"/>
          <w:szCs w:val="27"/>
        </w:rPr>
      </w:pPr>
      <w:r w:rsidRPr="005B3B49">
        <w:rPr>
          <w:rFonts w:ascii="Times New Roman" w:hAnsi="Times New Roman"/>
          <w:b/>
          <w:color w:val="000000"/>
          <w:sz w:val="27"/>
          <w:szCs w:val="27"/>
        </w:rPr>
        <w:t>Отчет о достигнутых значениях целевых показателей (индикаторов) муниципальной программы в 20</w:t>
      </w:r>
      <w:r w:rsidR="00D663B7" w:rsidRPr="005B3B49">
        <w:rPr>
          <w:rFonts w:ascii="Times New Roman" w:hAnsi="Times New Roman"/>
          <w:b/>
          <w:color w:val="000000"/>
          <w:sz w:val="27"/>
          <w:szCs w:val="27"/>
        </w:rPr>
        <w:t>2</w:t>
      </w:r>
      <w:r w:rsidR="00AD3F4B">
        <w:rPr>
          <w:rFonts w:ascii="Times New Roman" w:hAnsi="Times New Roman"/>
          <w:b/>
          <w:color w:val="000000"/>
          <w:sz w:val="27"/>
          <w:szCs w:val="27"/>
        </w:rPr>
        <w:t xml:space="preserve">2 </w:t>
      </w:r>
      <w:r w:rsidRPr="005B3B49">
        <w:rPr>
          <w:rFonts w:ascii="Times New Roman" w:hAnsi="Times New Roman"/>
          <w:b/>
          <w:color w:val="000000"/>
          <w:sz w:val="27"/>
          <w:szCs w:val="27"/>
        </w:rPr>
        <w:t>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2258"/>
        <w:gridCol w:w="1292"/>
        <w:gridCol w:w="1001"/>
        <w:gridCol w:w="1131"/>
        <w:gridCol w:w="1500"/>
        <w:gridCol w:w="2135"/>
      </w:tblGrid>
      <w:tr w:rsidR="0009225A" w:rsidRPr="005B3B49" w:rsidTr="00D975EE">
        <w:tc>
          <w:tcPr>
            <w:tcW w:w="572" w:type="dxa"/>
            <w:vMerge w:val="restart"/>
          </w:tcPr>
          <w:p w:rsidR="00AA439A" w:rsidRPr="005B3B49" w:rsidRDefault="00AA439A" w:rsidP="005557B4">
            <w:pPr>
              <w:rPr>
                <w:rFonts w:ascii="Times New Roman" w:hAnsi="Times New Roman"/>
                <w:color w:val="000000"/>
                <w:sz w:val="24"/>
                <w:szCs w:val="24"/>
              </w:rPr>
            </w:pPr>
            <w:r w:rsidRPr="005B3B49">
              <w:rPr>
                <w:rFonts w:ascii="Times New Roman" w:hAnsi="Times New Roman"/>
                <w:color w:val="000000"/>
                <w:sz w:val="24"/>
                <w:szCs w:val="24"/>
              </w:rPr>
              <w:t xml:space="preserve"> п/п</w:t>
            </w:r>
          </w:p>
        </w:tc>
        <w:tc>
          <w:tcPr>
            <w:tcW w:w="2258" w:type="dxa"/>
            <w:vMerge w:val="restart"/>
          </w:tcPr>
          <w:p w:rsidR="00AA439A" w:rsidRPr="005B3B49" w:rsidRDefault="00AA439A" w:rsidP="005557B4">
            <w:pPr>
              <w:rPr>
                <w:rFonts w:ascii="Times New Roman" w:hAnsi="Times New Roman"/>
                <w:color w:val="000000"/>
                <w:sz w:val="24"/>
                <w:szCs w:val="24"/>
              </w:rPr>
            </w:pPr>
            <w:r w:rsidRPr="005B3B49">
              <w:rPr>
                <w:rFonts w:ascii="Times New Roman" w:hAnsi="Times New Roman"/>
                <w:color w:val="000000"/>
                <w:sz w:val="24"/>
                <w:szCs w:val="24"/>
              </w:rPr>
              <w:t>Наименование целевого показателя (индикатора)</w:t>
            </w:r>
          </w:p>
        </w:tc>
        <w:tc>
          <w:tcPr>
            <w:tcW w:w="1292" w:type="dxa"/>
            <w:vMerge w:val="restart"/>
          </w:tcPr>
          <w:p w:rsidR="00AA439A" w:rsidRPr="005B3B49" w:rsidRDefault="00AA439A" w:rsidP="005557B4">
            <w:pPr>
              <w:rPr>
                <w:rFonts w:ascii="Times New Roman" w:hAnsi="Times New Roman"/>
                <w:color w:val="000000"/>
                <w:sz w:val="24"/>
                <w:szCs w:val="24"/>
              </w:rPr>
            </w:pPr>
            <w:r w:rsidRPr="005B3B49">
              <w:rPr>
                <w:rFonts w:ascii="Times New Roman" w:hAnsi="Times New Roman"/>
                <w:color w:val="000000"/>
                <w:sz w:val="24"/>
                <w:szCs w:val="24"/>
              </w:rPr>
              <w:t>единица измерения</w:t>
            </w:r>
          </w:p>
        </w:tc>
        <w:tc>
          <w:tcPr>
            <w:tcW w:w="2132" w:type="dxa"/>
            <w:gridSpan w:val="2"/>
          </w:tcPr>
          <w:p w:rsidR="00AA439A" w:rsidRPr="005B3B49" w:rsidRDefault="00AA439A" w:rsidP="005557B4">
            <w:pPr>
              <w:rPr>
                <w:rFonts w:ascii="Times New Roman" w:hAnsi="Times New Roman"/>
                <w:color w:val="000000"/>
                <w:sz w:val="24"/>
                <w:szCs w:val="24"/>
              </w:rPr>
            </w:pPr>
            <w:r w:rsidRPr="005B3B49">
              <w:rPr>
                <w:rFonts w:ascii="Times New Roman" w:hAnsi="Times New Roman"/>
                <w:color w:val="000000"/>
                <w:sz w:val="24"/>
                <w:szCs w:val="24"/>
              </w:rPr>
              <w:t>Значение целевого показателя (индикатора)</w:t>
            </w:r>
          </w:p>
        </w:tc>
        <w:tc>
          <w:tcPr>
            <w:tcW w:w="1500" w:type="dxa"/>
            <w:vMerge w:val="restart"/>
          </w:tcPr>
          <w:p w:rsidR="00AA439A" w:rsidRPr="005B3B49" w:rsidRDefault="00AA439A" w:rsidP="005557B4">
            <w:pPr>
              <w:rPr>
                <w:rFonts w:ascii="Times New Roman" w:hAnsi="Times New Roman"/>
                <w:color w:val="000000"/>
                <w:sz w:val="24"/>
                <w:szCs w:val="24"/>
              </w:rPr>
            </w:pPr>
            <w:r w:rsidRPr="005B3B49">
              <w:rPr>
                <w:rFonts w:ascii="Times New Roman" w:hAnsi="Times New Roman"/>
                <w:color w:val="000000"/>
                <w:sz w:val="24"/>
                <w:szCs w:val="24"/>
              </w:rPr>
              <w:t>Процент выполнения</w:t>
            </w:r>
          </w:p>
        </w:tc>
        <w:tc>
          <w:tcPr>
            <w:tcW w:w="2135" w:type="dxa"/>
            <w:vMerge w:val="restart"/>
          </w:tcPr>
          <w:p w:rsidR="00AA439A" w:rsidRPr="005B3B49" w:rsidRDefault="00AA439A" w:rsidP="005557B4">
            <w:pPr>
              <w:rPr>
                <w:rFonts w:ascii="Times New Roman" w:hAnsi="Times New Roman"/>
                <w:color w:val="000000"/>
                <w:sz w:val="24"/>
                <w:szCs w:val="24"/>
              </w:rPr>
            </w:pPr>
            <w:r w:rsidRPr="005B3B49">
              <w:rPr>
                <w:rFonts w:ascii="Times New Roman" w:hAnsi="Times New Roman"/>
                <w:color w:val="000000"/>
                <w:sz w:val="24"/>
                <w:szCs w:val="24"/>
              </w:rPr>
              <w:t>Примечание</w:t>
            </w:r>
          </w:p>
        </w:tc>
      </w:tr>
      <w:tr w:rsidR="0009225A" w:rsidRPr="005B3B49" w:rsidTr="00D975EE">
        <w:tc>
          <w:tcPr>
            <w:tcW w:w="572" w:type="dxa"/>
            <w:vMerge/>
          </w:tcPr>
          <w:p w:rsidR="00AA439A" w:rsidRPr="005B3B49" w:rsidRDefault="00AA439A" w:rsidP="005557B4">
            <w:pPr>
              <w:rPr>
                <w:rFonts w:ascii="Times New Roman" w:hAnsi="Times New Roman"/>
                <w:color w:val="000000"/>
                <w:sz w:val="24"/>
                <w:szCs w:val="24"/>
              </w:rPr>
            </w:pPr>
          </w:p>
        </w:tc>
        <w:tc>
          <w:tcPr>
            <w:tcW w:w="2258" w:type="dxa"/>
            <w:vMerge/>
          </w:tcPr>
          <w:p w:rsidR="00AA439A" w:rsidRPr="005B3B49" w:rsidRDefault="00AA439A" w:rsidP="005557B4">
            <w:pPr>
              <w:rPr>
                <w:rFonts w:ascii="Times New Roman" w:hAnsi="Times New Roman"/>
                <w:color w:val="000000"/>
                <w:sz w:val="24"/>
                <w:szCs w:val="24"/>
              </w:rPr>
            </w:pPr>
          </w:p>
        </w:tc>
        <w:tc>
          <w:tcPr>
            <w:tcW w:w="1292" w:type="dxa"/>
            <w:vMerge/>
          </w:tcPr>
          <w:p w:rsidR="00AA439A" w:rsidRPr="005B3B49" w:rsidRDefault="00AA439A" w:rsidP="005557B4">
            <w:pPr>
              <w:rPr>
                <w:rFonts w:ascii="Times New Roman" w:hAnsi="Times New Roman"/>
                <w:color w:val="000000"/>
                <w:sz w:val="24"/>
                <w:szCs w:val="24"/>
              </w:rPr>
            </w:pPr>
          </w:p>
        </w:tc>
        <w:tc>
          <w:tcPr>
            <w:tcW w:w="1001" w:type="dxa"/>
          </w:tcPr>
          <w:p w:rsidR="00AA439A" w:rsidRPr="005B3B49" w:rsidRDefault="00AA439A" w:rsidP="00AD3F4B">
            <w:pPr>
              <w:rPr>
                <w:rFonts w:ascii="Times New Roman" w:hAnsi="Times New Roman"/>
                <w:color w:val="000000"/>
                <w:sz w:val="24"/>
                <w:szCs w:val="24"/>
              </w:rPr>
            </w:pPr>
            <w:r w:rsidRPr="005B3B49">
              <w:rPr>
                <w:rFonts w:ascii="Times New Roman" w:hAnsi="Times New Roman"/>
                <w:color w:val="000000"/>
                <w:sz w:val="24"/>
                <w:szCs w:val="24"/>
              </w:rPr>
              <w:t>план на 20</w:t>
            </w:r>
            <w:r w:rsidR="00D663B7" w:rsidRPr="005B3B49">
              <w:rPr>
                <w:rFonts w:ascii="Times New Roman" w:hAnsi="Times New Roman"/>
                <w:color w:val="000000"/>
                <w:sz w:val="24"/>
                <w:szCs w:val="24"/>
              </w:rPr>
              <w:t>2</w:t>
            </w:r>
            <w:r w:rsidR="00AD3F4B">
              <w:rPr>
                <w:rFonts w:ascii="Times New Roman" w:hAnsi="Times New Roman"/>
                <w:color w:val="000000"/>
                <w:sz w:val="24"/>
                <w:szCs w:val="24"/>
              </w:rPr>
              <w:t>2</w:t>
            </w:r>
            <w:r w:rsidRPr="005B3B49">
              <w:rPr>
                <w:rFonts w:ascii="Times New Roman" w:hAnsi="Times New Roman"/>
                <w:color w:val="000000"/>
                <w:sz w:val="24"/>
                <w:szCs w:val="24"/>
              </w:rPr>
              <w:t xml:space="preserve"> год</w:t>
            </w:r>
          </w:p>
        </w:tc>
        <w:tc>
          <w:tcPr>
            <w:tcW w:w="1131" w:type="dxa"/>
          </w:tcPr>
          <w:p w:rsidR="00AA439A" w:rsidRPr="005B3B49" w:rsidRDefault="00AA439A" w:rsidP="00B24B31">
            <w:pPr>
              <w:rPr>
                <w:rFonts w:ascii="Times New Roman" w:hAnsi="Times New Roman"/>
                <w:color w:val="000000"/>
                <w:sz w:val="24"/>
                <w:szCs w:val="24"/>
              </w:rPr>
            </w:pPr>
            <w:r w:rsidRPr="005B3B49">
              <w:rPr>
                <w:rFonts w:ascii="Times New Roman" w:hAnsi="Times New Roman"/>
                <w:color w:val="000000"/>
                <w:sz w:val="24"/>
                <w:szCs w:val="24"/>
              </w:rPr>
              <w:t>факт на конец 20</w:t>
            </w:r>
            <w:r w:rsidR="00D663B7" w:rsidRPr="005B3B49">
              <w:rPr>
                <w:rFonts w:ascii="Times New Roman" w:hAnsi="Times New Roman"/>
                <w:color w:val="000000"/>
                <w:sz w:val="24"/>
                <w:szCs w:val="24"/>
              </w:rPr>
              <w:t>2</w:t>
            </w:r>
            <w:r w:rsidR="00AD3F4B">
              <w:rPr>
                <w:rFonts w:ascii="Times New Roman" w:hAnsi="Times New Roman"/>
                <w:color w:val="000000"/>
                <w:sz w:val="24"/>
                <w:szCs w:val="24"/>
              </w:rPr>
              <w:t>2</w:t>
            </w:r>
            <w:r w:rsidRPr="005B3B49">
              <w:rPr>
                <w:rFonts w:ascii="Times New Roman" w:hAnsi="Times New Roman"/>
                <w:color w:val="000000"/>
                <w:sz w:val="24"/>
                <w:szCs w:val="24"/>
              </w:rPr>
              <w:t xml:space="preserve"> года</w:t>
            </w:r>
          </w:p>
        </w:tc>
        <w:tc>
          <w:tcPr>
            <w:tcW w:w="1500" w:type="dxa"/>
            <w:vMerge/>
          </w:tcPr>
          <w:p w:rsidR="00AA439A" w:rsidRPr="005B3B49" w:rsidRDefault="00AA439A" w:rsidP="005557B4">
            <w:pPr>
              <w:rPr>
                <w:rFonts w:ascii="Times New Roman" w:hAnsi="Times New Roman"/>
                <w:color w:val="000000"/>
                <w:sz w:val="24"/>
                <w:szCs w:val="24"/>
              </w:rPr>
            </w:pPr>
          </w:p>
        </w:tc>
        <w:tc>
          <w:tcPr>
            <w:tcW w:w="2135" w:type="dxa"/>
            <w:vMerge/>
          </w:tcPr>
          <w:p w:rsidR="00AA439A" w:rsidRPr="005B3B49" w:rsidRDefault="00AA439A" w:rsidP="005557B4">
            <w:pPr>
              <w:rPr>
                <w:rFonts w:ascii="Times New Roman" w:hAnsi="Times New Roman"/>
                <w:color w:val="000000"/>
                <w:sz w:val="24"/>
                <w:szCs w:val="24"/>
              </w:rPr>
            </w:pPr>
          </w:p>
        </w:tc>
      </w:tr>
      <w:tr w:rsidR="00D975EE" w:rsidRPr="005B3B49" w:rsidTr="00D975EE">
        <w:tc>
          <w:tcPr>
            <w:tcW w:w="572" w:type="dxa"/>
          </w:tcPr>
          <w:p w:rsidR="00D975EE" w:rsidRPr="005B3B49" w:rsidRDefault="00D975EE" w:rsidP="005557B4">
            <w:pPr>
              <w:rPr>
                <w:rFonts w:ascii="Times New Roman" w:hAnsi="Times New Roman"/>
                <w:color w:val="000000"/>
                <w:sz w:val="24"/>
                <w:szCs w:val="24"/>
              </w:rPr>
            </w:pPr>
            <w:r w:rsidRPr="005B3B49">
              <w:rPr>
                <w:rFonts w:ascii="Times New Roman" w:hAnsi="Times New Roman"/>
                <w:color w:val="000000"/>
                <w:sz w:val="24"/>
                <w:szCs w:val="24"/>
              </w:rPr>
              <w:t>1</w:t>
            </w:r>
          </w:p>
        </w:tc>
        <w:tc>
          <w:tcPr>
            <w:tcW w:w="2258"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t>Количество консультаций в сфере защиты прав потребителей</w:t>
            </w:r>
          </w:p>
        </w:tc>
        <w:tc>
          <w:tcPr>
            <w:tcW w:w="1292" w:type="dxa"/>
          </w:tcPr>
          <w:p w:rsidR="00D975EE" w:rsidRPr="005B3B49" w:rsidRDefault="00D975EE" w:rsidP="00D12C00">
            <w:pPr>
              <w:contextualSpacing/>
              <w:rPr>
                <w:rFonts w:ascii="Times New Roman" w:hAnsi="Times New Roman"/>
                <w:sz w:val="24"/>
                <w:szCs w:val="24"/>
              </w:rPr>
            </w:pPr>
            <w:r w:rsidRPr="005B3B49">
              <w:rPr>
                <w:rFonts w:ascii="Times New Roman" w:hAnsi="Times New Roman"/>
                <w:sz w:val="24"/>
                <w:szCs w:val="24"/>
              </w:rPr>
              <w:t xml:space="preserve">ед. </w:t>
            </w:r>
          </w:p>
        </w:tc>
        <w:tc>
          <w:tcPr>
            <w:tcW w:w="1001" w:type="dxa"/>
          </w:tcPr>
          <w:p w:rsidR="00D975EE" w:rsidRPr="00D975EE" w:rsidRDefault="00D12C00" w:rsidP="00C51050">
            <w:pPr>
              <w:contextualSpacing/>
              <w:rPr>
                <w:rFonts w:ascii="Times New Roman" w:hAnsi="Times New Roman"/>
                <w:sz w:val="24"/>
                <w:szCs w:val="24"/>
              </w:rPr>
            </w:pPr>
            <w:r>
              <w:rPr>
                <w:rFonts w:ascii="Times New Roman" w:hAnsi="Times New Roman"/>
                <w:sz w:val="24"/>
                <w:szCs w:val="24"/>
              </w:rPr>
              <w:t>29</w:t>
            </w:r>
          </w:p>
        </w:tc>
        <w:tc>
          <w:tcPr>
            <w:tcW w:w="1131" w:type="dxa"/>
          </w:tcPr>
          <w:p w:rsidR="00D975EE" w:rsidRDefault="00D12C00" w:rsidP="005557B4">
            <w:pPr>
              <w:rPr>
                <w:rFonts w:ascii="Times New Roman" w:hAnsi="Times New Roman"/>
                <w:color w:val="000000"/>
                <w:sz w:val="24"/>
                <w:szCs w:val="24"/>
              </w:rPr>
            </w:pPr>
            <w:r>
              <w:rPr>
                <w:rFonts w:ascii="Times New Roman" w:hAnsi="Times New Roman"/>
                <w:color w:val="000000"/>
                <w:sz w:val="24"/>
                <w:szCs w:val="24"/>
              </w:rPr>
              <w:t>12</w:t>
            </w:r>
          </w:p>
          <w:p w:rsidR="00D12C00" w:rsidRPr="005B3B49" w:rsidRDefault="00D12C00" w:rsidP="005557B4">
            <w:pPr>
              <w:rPr>
                <w:rFonts w:ascii="Times New Roman" w:hAnsi="Times New Roman"/>
                <w:color w:val="000000"/>
                <w:sz w:val="24"/>
                <w:szCs w:val="24"/>
              </w:rPr>
            </w:pPr>
          </w:p>
        </w:tc>
        <w:tc>
          <w:tcPr>
            <w:tcW w:w="1500" w:type="dxa"/>
          </w:tcPr>
          <w:p w:rsidR="00D975EE" w:rsidRPr="005B3B49" w:rsidRDefault="00D12C00" w:rsidP="00D8258E">
            <w:pPr>
              <w:rPr>
                <w:rFonts w:ascii="Times New Roman" w:hAnsi="Times New Roman"/>
                <w:color w:val="000000"/>
                <w:sz w:val="24"/>
                <w:szCs w:val="24"/>
              </w:rPr>
            </w:pPr>
            <w:r>
              <w:rPr>
                <w:rFonts w:ascii="Times New Roman" w:hAnsi="Times New Roman"/>
                <w:color w:val="000000"/>
                <w:sz w:val="24"/>
                <w:szCs w:val="24"/>
              </w:rPr>
              <w:t>41,4</w:t>
            </w:r>
          </w:p>
        </w:tc>
        <w:tc>
          <w:tcPr>
            <w:tcW w:w="2135" w:type="dxa"/>
          </w:tcPr>
          <w:p w:rsidR="00D975EE" w:rsidRPr="005B3B49" w:rsidRDefault="00D8258E" w:rsidP="00D8258E">
            <w:pPr>
              <w:jc w:val="both"/>
              <w:rPr>
                <w:rFonts w:ascii="Times New Roman" w:hAnsi="Times New Roman"/>
                <w:color w:val="000000"/>
                <w:sz w:val="24"/>
                <w:szCs w:val="24"/>
              </w:rPr>
            </w:pPr>
            <w:r>
              <w:rPr>
                <w:rFonts w:ascii="Times New Roman" w:hAnsi="Times New Roman"/>
                <w:color w:val="000000"/>
                <w:sz w:val="24"/>
                <w:szCs w:val="24"/>
              </w:rPr>
              <w:t>Значение показателя снижены за счет регулярного обновления информации, размещённой в средствах массовой информации, распространения рекламных буклетов и т.п.</w:t>
            </w:r>
          </w:p>
        </w:tc>
      </w:tr>
      <w:tr w:rsidR="00D975EE" w:rsidRPr="005B3B49" w:rsidTr="00D975EE">
        <w:tc>
          <w:tcPr>
            <w:tcW w:w="572" w:type="dxa"/>
          </w:tcPr>
          <w:p w:rsidR="00D975EE" w:rsidRPr="005B3B49" w:rsidRDefault="00D975EE" w:rsidP="005557B4">
            <w:pPr>
              <w:rPr>
                <w:rFonts w:ascii="Times New Roman" w:hAnsi="Times New Roman"/>
                <w:color w:val="000000"/>
                <w:sz w:val="24"/>
                <w:szCs w:val="24"/>
              </w:rPr>
            </w:pPr>
            <w:r w:rsidRPr="005B3B49">
              <w:rPr>
                <w:rFonts w:ascii="Times New Roman" w:hAnsi="Times New Roman"/>
                <w:color w:val="000000"/>
                <w:sz w:val="24"/>
                <w:szCs w:val="24"/>
              </w:rPr>
              <w:t>2</w:t>
            </w:r>
          </w:p>
        </w:tc>
        <w:tc>
          <w:tcPr>
            <w:tcW w:w="2258"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t xml:space="preserve">Количество публикаций  в средствах массовой </w:t>
            </w:r>
            <w:r w:rsidRPr="005B3B49">
              <w:rPr>
                <w:rFonts w:ascii="Times New Roman" w:hAnsi="Times New Roman"/>
                <w:sz w:val="24"/>
                <w:szCs w:val="24"/>
              </w:rPr>
              <w:lastRenderedPageBreak/>
              <w:t>информации, направленных на повышение  потребительской грамотности и информации о некачественных и опасных товарах и услугах</w:t>
            </w:r>
          </w:p>
        </w:tc>
        <w:tc>
          <w:tcPr>
            <w:tcW w:w="1292"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lastRenderedPageBreak/>
              <w:t xml:space="preserve">ед. </w:t>
            </w:r>
          </w:p>
        </w:tc>
        <w:tc>
          <w:tcPr>
            <w:tcW w:w="1001" w:type="dxa"/>
          </w:tcPr>
          <w:p w:rsidR="00D975EE" w:rsidRPr="00D975EE" w:rsidRDefault="00D975EE" w:rsidP="00C51050">
            <w:pPr>
              <w:contextualSpacing/>
              <w:rPr>
                <w:rFonts w:ascii="Times New Roman" w:hAnsi="Times New Roman"/>
                <w:sz w:val="24"/>
                <w:szCs w:val="24"/>
              </w:rPr>
            </w:pPr>
            <w:r w:rsidRPr="00D975EE">
              <w:rPr>
                <w:rFonts w:ascii="Times New Roman" w:hAnsi="Times New Roman"/>
                <w:sz w:val="24"/>
                <w:szCs w:val="24"/>
              </w:rPr>
              <w:t>20</w:t>
            </w:r>
          </w:p>
        </w:tc>
        <w:tc>
          <w:tcPr>
            <w:tcW w:w="1131" w:type="dxa"/>
          </w:tcPr>
          <w:p w:rsidR="00D975EE" w:rsidRPr="005B3B49" w:rsidRDefault="00D975EE" w:rsidP="005557B4">
            <w:pPr>
              <w:rPr>
                <w:rFonts w:ascii="Times New Roman" w:hAnsi="Times New Roman"/>
                <w:color w:val="000000"/>
                <w:sz w:val="24"/>
                <w:szCs w:val="24"/>
              </w:rPr>
            </w:pPr>
            <w:r>
              <w:rPr>
                <w:rFonts w:ascii="Times New Roman" w:hAnsi="Times New Roman"/>
                <w:color w:val="000000"/>
                <w:sz w:val="24"/>
                <w:szCs w:val="24"/>
              </w:rPr>
              <w:t>18</w:t>
            </w:r>
          </w:p>
        </w:tc>
        <w:tc>
          <w:tcPr>
            <w:tcW w:w="1500" w:type="dxa"/>
          </w:tcPr>
          <w:p w:rsidR="00D975EE" w:rsidRPr="005B3B49" w:rsidRDefault="00D975EE" w:rsidP="005557B4">
            <w:pPr>
              <w:rPr>
                <w:rFonts w:ascii="Times New Roman" w:hAnsi="Times New Roman"/>
                <w:color w:val="000000"/>
                <w:sz w:val="24"/>
                <w:szCs w:val="24"/>
              </w:rPr>
            </w:pPr>
            <w:r>
              <w:rPr>
                <w:rFonts w:ascii="Times New Roman" w:hAnsi="Times New Roman"/>
                <w:color w:val="000000"/>
                <w:sz w:val="24"/>
                <w:szCs w:val="24"/>
              </w:rPr>
              <w:t>90</w:t>
            </w:r>
          </w:p>
        </w:tc>
        <w:tc>
          <w:tcPr>
            <w:tcW w:w="2135" w:type="dxa"/>
          </w:tcPr>
          <w:p w:rsidR="00D975EE" w:rsidRPr="005B3B49" w:rsidRDefault="00D975EE" w:rsidP="005557B4">
            <w:pPr>
              <w:rPr>
                <w:rFonts w:ascii="Times New Roman" w:hAnsi="Times New Roman"/>
                <w:color w:val="000000"/>
                <w:sz w:val="24"/>
                <w:szCs w:val="24"/>
              </w:rPr>
            </w:pPr>
          </w:p>
        </w:tc>
      </w:tr>
      <w:tr w:rsidR="00D975EE" w:rsidRPr="005B3B49" w:rsidTr="00D975EE">
        <w:tc>
          <w:tcPr>
            <w:tcW w:w="572" w:type="dxa"/>
          </w:tcPr>
          <w:p w:rsidR="00D975EE" w:rsidRPr="005B3B49" w:rsidRDefault="00D975EE" w:rsidP="005557B4">
            <w:pPr>
              <w:rPr>
                <w:rFonts w:ascii="Times New Roman" w:hAnsi="Times New Roman"/>
                <w:color w:val="000000"/>
                <w:sz w:val="24"/>
                <w:szCs w:val="24"/>
              </w:rPr>
            </w:pPr>
            <w:r w:rsidRPr="005B3B49">
              <w:rPr>
                <w:rFonts w:ascii="Times New Roman" w:hAnsi="Times New Roman"/>
                <w:color w:val="000000"/>
                <w:sz w:val="24"/>
                <w:szCs w:val="24"/>
              </w:rPr>
              <w:lastRenderedPageBreak/>
              <w:t>3</w:t>
            </w:r>
          </w:p>
        </w:tc>
        <w:tc>
          <w:tcPr>
            <w:tcW w:w="2258"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t xml:space="preserve">Количество распространенных печатных информационных материалов (буклетов, памяток, брошюр, плакатов), направленных на повышение потребительской грамотности </w:t>
            </w:r>
          </w:p>
        </w:tc>
        <w:tc>
          <w:tcPr>
            <w:tcW w:w="1292"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t>ед. на 1 тыс. чел.</w:t>
            </w:r>
          </w:p>
        </w:tc>
        <w:tc>
          <w:tcPr>
            <w:tcW w:w="1001" w:type="dxa"/>
          </w:tcPr>
          <w:p w:rsidR="00D975EE" w:rsidRPr="00D975EE" w:rsidRDefault="00D975EE" w:rsidP="00C51050">
            <w:pPr>
              <w:contextualSpacing/>
              <w:rPr>
                <w:rFonts w:ascii="Times New Roman" w:hAnsi="Times New Roman"/>
                <w:sz w:val="24"/>
                <w:szCs w:val="24"/>
              </w:rPr>
            </w:pPr>
            <w:r w:rsidRPr="00D975EE">
              <w:rPr>
                <w:rFonts w:ascii="Times New Roman" w:hAnsi="Times New Roman"/>
                <w:sz w:val="24"/>
                <w:szCs w:val="24"/>
              </w:rPr>
              <w:t>3,3</w:t>
            </w:r>
          </w:p>
        </w:tc>
        <w:tc>
          <w:tcPr>
            <w:tcW w:w="1131" w:type="dxa"/>
          </w:tcPr>
          <w:p w:rsidR="00D975EE" w:rsidRPr="005B3B49" w:rsidRDefault="00D12C00" w:rsidP="00F85284">
            <w:pPr>
              <w:rPr>
                <w:rFonts w:ascii="Times New Roman" w:hAnsi="Times New Roman"/>
                <w:color w:val="000000"/>
                <w:sz w:val="24"/>
                <w:szCs w:val="24"/>
              </w:rPr>
            </w:pPr>
            <w:r>
              <w:rPr>
                <w:rFonts w:ascii="Times New Roman" w:hAnsi="Times New Roman"/>
                <w:color w:val="000000"/>
                <w:sz w:val="24"/>
                <w:szCs w:val="24"/>
              </w:rPr>
              <w:t>3,8</w:t>
            </w:r>
          </w:p>
        </w:tc>
        <w:tc>
          <w:tcPr>
            <w:tcW w:w="1500" w:type="dxa"/>
          </w:tcPr>
          <w:p w:rsidR="00D975EE" w:rsidRPr="005B3B49" w:rsidRDefault="00D12C00" w:rsidP="00F85284">
            <w:pPr>
              <w:rPr>
                <w:rFonts w:ascii="Times New Roman" w:hAnsi="Times New Roman"/>
                <w:color w:val="000000"/>
                <w:sz w:val="24"/>
                <w:szCs w:val="24"/>
              </w:rPr>
            </w:pPr>
            <w:r>
              <w:rPr>
                <w:rFonts w:ascii="Times New Roman" w:hAnsi="Times New Roman"/>
                <w:color w:val="000000"/>
                <w:sz w:val="24"/>
                <w:szCs w:val="24"/>
              </w:rPr>
              <w:t>115,2</w:t>
            </w:r>
          </w:p>
        </w:tc>
        <w:tc>
          <w:tcPr>
            <w:tcW w:w="2135" w:type="dxa"/>
          </w:tcPr>
          <w:p w:rsidR="00D975EE" w:rsidRPr="005B3B49" w:rsidRDefault="00D975EE" w:rsidP="0009225A">
            <w:pPr>
              <w:rPr>
                <w:rFonts w:ascii="Times New Roman" w:hAnsi="Times New Roman"/>
                <w:color w:val="000000"/>
                <w:sz w:val="24"/>
                <w:szCs w:val="24"/>
              </w:rPr>
            </w:pPr>
          </w:p>
        </w:tc>
      </w:tr>
      <w:tr w:rsidR="00D975EE" w:rsidRPr="005B3B49" w:rsidTr="00D975EE">
        <w:tc>
          <w:tcPr>
            <w:tcW w:w="572" w:type="dxa"/>
          </w:tcPr>
          <w:p w:rsidR="00D975EE" w:rsidRPr="005B3B49" w:rsidRDefault="00D975EE" w:rsidP="005557B4">
            <w:pPr>
              <w:rPr>
                <w:rFonts w:ascii="Times New Roman" w:hAnsi="Times New Roman"/>
                <w:color w:val="000000"/>
                <w:sz w:val="24"/>
                <w:szCs w:val="24"/>
              </w:rPr>
            </w:pPr>
            <w:r w:rsidRPr="005B3B49">
              <w:rPr>
                <w:rFonts w:ascii="Times New Roman" w:hAnsi="Times New Roman"/>
                <w:color w:val="000000"/>
                <w:sz w:val="24"/>
                <w:szCs w:val="24"/>
              </w:rPr>
              <w:t>4</w:t>
            </w:r>
          </w:p>
        </w:tc>
        <w:tc>
          <w:tcPr>
            <w:tcW w:w="2258"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t>Удельный вес продукции, реализуемой на территории района, не соответствующий требованиям качества и безопасности по результатам лабораторных исследований (от общего объема исследованной продукции)</w:t>
            </w:r>
          </w:p>
        </w:tc>
        <w:tc>
          <w:tcPr>
            <w:tcW w:w="1292" w:type="dxa"/>
          </w:tcPr>
          <w:p w:rsidR="00D975EE" w:rsidRPr="005B3B49" w:rsidRDefault="00D975EE" w:rsidP="005557B4">
            <w:pPr>
              <w:contextualSpacing/>
              <w:rPr>
                <w:rFonts w:ascii="Times New Roman" w:hAnsi="Times New Roman"/>
                <w:sz w:val="24"/>
                <w:szCs w:val="24"/>
              </w:rPr>
            </w:pPr>
            <w:r w:rsidRPr="005B3B49">
              <w:rPr>
                <w:rFonts w:ascii="Times New Roman" w:hAnsi="Times New Roman"/>
                <w:sz w:val="24"/>
                <w:szCs w:val="24"/>
              </w:rPr>
              <w:t>процент</w:t>
            </w:r>
          </w:p>
        </w:tc>
        <w:tc>
          <w:tcPr>
            <w:tcW w:w="1001" w:type="dxa"/>
          </w:tcPr>
          <w:p w:rsidR="00D975EE" w:rsidRPr="00D975EE" w:rsidRDefault="00D975EE" w:rsidP="00C51050">
            <w:pPr>
              <w:contextualSpacing/>
              <w:rPr>
                <w:rFonts w:ascii="Times New Roman" w:hAnsi="Times New Roman"/>
                <w:sz w:val="24"/>
                <w:szCs w:val="24"/>
              </w:rPr>
            </w:pPr>
            <w:r w:rsidRPr="00D975EE">
              <w:rPr>
                <w:rFonts w:ascii="Times New Roman" w:hAnsi="Times New Roman"/>
                <w:sz w:val="24"/>
                <w:szCs w:val="24"/>
              </w:rPr>
              <w:t>0</w:t>
            </w:r>
          </w:p>
        </w:tc>
        <w:tc>
          <w:tcPr>
            <w:tcW w:w="1131" w:type="dxa"/>
          </w:tcPr>
          <w:p w:rsidR="00D975EE" w:rsidRPr="005B3B49" w:rsidRDefault="00D975EE" w:rsidP="005557B4">
            <w:pPr>
              <w:rPr>
                <w:rFonts w:ascii="Times New Roman" w:hAnsi="Times New Roman"/>
                <w:color w:val="000000"/>
                <w:sz w:val="24"/>
                <w:szCs w:val="24"/>
              </w:rPr>
            </w:pPr>
            <w:r w:rsidRPr="005B3B49">
              <w:rPr>
                <w:rFonts w:ascii="Times New Roman" w:hAnsi="Times New Roman"/>
                <w:color w:val="000000"/>
                <w:sz w:val="24"/>
                <w:szCs w:val="24"/>
              </w:rPr>
              <w:t>0</w:t>
            </w:r>
          </w:p>
        </w:tc>
        <w:tc>
          <w:tcPr>
            <w:tcW w:w="1500" w:type="dxa"/>
          </w:tcPr>
          <w:p w:rsidR="00D975EE" w:rsidRPr="005B3B49" w:rsidRDefault="00D975EE" w:rsidP="005557B4">
            <w:pPr>
              <w:rPr>
                <w:rFonts w:ascii="Times New Roman" w:hAnsi="Times New Roman"/>
                <w:color w:val="000000"/>
                <w:sz w:val="24"/>
                <w:szCs w:val="24"/>
              </w:rPr>
            </w:pPr>
            <w:r w:rsidRPr="005B3B49">
              <w:rPr>
                <w:rFonts w:ascii="Times New Roman" w:hAnsi="Times New Roman"/>
                <w:color w:val="000000"/>
                <w:sz w:val="24"/>
                <w:szCs w:val="24"/>
              </w:rPr>
              <w:t>100</w:t>
            </w:r>
          </w:p>
        </w:tc>
        <w:tc>
          <w:tcPr>
            <w:tcW w:w="2135" w:type="dxa"/>
          </w:tcPr>
          <w:p w:rsidR="00D975EE" w:rsidRPr="005B3B49" w:rsidRDefault="00D975EE" w:rsidP="005557B4">
            <w:pPr>
              <w:rPr>
                <w:rFonts w:ascii="Times New Roman" w:hAnsi="Times New Roman"/>
                <w:color w:val="000000"/>
                <w:sz w:val="24"/>
                <w:szCs w:val="24"/>
              </w:rPr>
            </w:pPr>
          </w:p>
        </w:tc>
      </w:tr>
    </w:tbl>
    <w:p w:rsidR="00ED418A" w:rsidRPr="005B3B49" w:rsidRDefault="00ED418A" w:rsidP="00BB2648">
      <w:pPr>
        <w:ind w:firstLine="567"/>
        <w:jc w:val="both"/>
        <w:rPr>
          <w:rFonts w:ascii="Times New Roman" w:hAnsi="Times New Roman"/>
          <w:sz w:val="28"/>
          <w:szCs w:val="28"/>
        </w:rPr>
      </w:pPr>
    </w:p>
    <w:p w:rsidR="00ED418A" w:rsidRPr="005B3B49" w:rsidRDefault="00ED418A" w:rsidP="00ED418A">
      <w:pPr>
        <w:rPr>
          <w:rFonts w:ascii="Times New Roman" w:hAnsi="Times New Roman"/>
          <w:b/>
          <w:color w:val="000000"/>
          <w:sz w:val="27"/>
          <w:szCs w:val="27"/>
        </w:rPr>
      </w:pPr>
      <w:r w:rsidRPr="005B3B49">
        <w:rPr>
          <w:rFonts w:ascii="Times New Roman" w:hAnsi="Times New Roman"/>
          <w:b/>
          <w:color w:val="000000"/>
          <w:sz w:val="27"/>
          <w:szCs w:val="27"/>
        </w:rPr>
        <w:t>Оценка эффективности реализации муниципальной программы в 20</w:t>
      </w:r>
      <w:r w:rsidR="00D663B7" w:rsidRPr="005B3B49">
        <w:rPr>
          <w:rFonts w:ascii="Times New Roman" w:hAnsi="Times New Roman"/>
          <w:b/>
          <w:color w:val="000000"/>
          <w:sz w:val="27"/>
          <w:szCs w:val="27"/>
        </w:rPr>
        <w:t>2</w:t>
      </w:r>
      <w:r w:rsidR="00DC6DCA">
        <w:rPr>
          <w:rFonts w:ascii="Times New Roman" w:hAnsi="Times New Roman"/>
          <w:b/>
          <w:color w:val="000000"/>
          <w:sz w:val="27"/>
          <w:szCs w:val="27"/>
        </w:rPr>
        <w:t>2</w:t>
      </w:r>
      <w:r w:rsidRPr="005B3B49">
        <w:rPr>
          <w:rFonts w:ascii="Times New Roman" w:hAnsi="Times New Roman"/>
          <w:b/>
          <w:color w:val="000000"/>
          <w:sz w:val="27"/>
          <w:szCs w:val="27"/>
        </w:rPr>
        <w:t xml:space="preserve"> году</w:t>
      </w:r>
    </w:p>
    <w:p w:rsidR="00ED418A" w:rsidRPr="005B3B49" w:rsidRDefault="00ED418A" w:rsidP="00ED418A">
      <w:pPr>
        <w:rPr>
          <w:rFonts w:ascii="Times New Roman" w:hAnsi="Times New Roman"/>
          <w:b/>
          <w:color w:val="000000"/>
          <w:sz w:val="27"/>
          <w:szCs w:val="2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5"/>
        <w:gridCol w:w="3284"/>
      </w:tblGrid>
      <w:tr w:rsidR="00ED418A" w:rsidRPr="005B3B49" w:rsidTr="009F1809">
        <w:trPr>
          <w:trHeight w:val="345"/>
        </w:trPr>
        <w:tc>
          <w:tcPr>
            <w:tcW w:w="7621" w:type="dxa"/>
          </w:tcPr>
          <w:p w:rsidR="00ED418A" w:rsidRPr="005B3B49" w:rsidRDefault="00ED418A" w:rsidP="005557B4">
            <w:pPr>
              <w:rPr>
                <w:rFonts w:ascii="Times New Roman" w:hAnsi="Times New Roman"/>
                <w:b/>
                <w:color w:val="000000"/>
                <w:sz w:val="24"/>
                <w:szCs w:val="24"/>
              </w:rPr>
            </w:pPr>
            <w:r w:rsidRPr="005B3B49">
              <w:rPr>
                <w:rFonts w:ascii="Times New Roman" w:hAnsi="Times New Roman"/>
                <w:b/>
                <w:color w:val="000000"/>
                <w:sz w:val="24"/>
                <w:szCs w:val="24"/>
              </w:rPr>
              <w:t>Показатели</w:t>
            </w:r>
          </w:p>
        </w:tc>
        <w:tc>
          <w:tcPr>
            <w:tcW w:w="2268" w:type="dxa"/>
          </w:tcPr>
          <w:p w:rsidR="00ED418A" w:rsidRPr="005B3B49" w:rsidRDefault="00ED418A" w:rsidP="005557B4">
            <w:pPr>
              <w:rPr>
                <w:rFonts w:ascii="Times New Roman" w:hAnsi="Times New Roman"/>
                <w:color w:val="000000"/>
                <w:sz w:val="24"/>
                <w:szCs w:val="24"/>
              </w:rPr>
            </w:pP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Оценка степени достижения целевых показателей К1</w:t>
            </w:r>
          </w:p>
        </w:tc>
        <w:tc>
          <w:tcPr>
            <w:tcW w:w="2268" w:type="dxa"/>
          </w:tcPr>
          <w:p w:rsidR="00ED418A" w:rsidRPr="005B3B49" w:rsidRDefault="001213C9" w:rsidP="005557B4">
            <w:pPr>
              <w:rPr>
                <w:rFonts w:ascii="Times New Roman" w:hAnsi="Times New Roman"/>
                <w:color w:val="000000"/>
                <w:sz w:val="24"/>
                <w:szCs w:val="24"/>
              </w:rPr>
            </w:pPr>
            <w:r w:rsidRPr="005B3B49">
              <w:rPr>
                <w:rFonts w:ascii="Times New Roman" w:hAnsi="Times New Roman"/>
                <w:color w:val="000000"/>
                <w:sz w:val="24"/>
                <w:szCs w:val="24"/>
              </w:rPr>
              <w:t>(</w:t>
            </w:r>
            <w:r w:rsidR="00AD7BD4">
              <w:rPr>
                <w:rFonts w:ascii="Times New Roman" w:hAnsi="Times New Roman"/>
                <w:color w:val="000000"/>
                <w:sz w:val="24"/>
                <w:szCs w:val="24"/>
              </w:rPr>
              <w:t>51,9</w:t>
            </w:r>
            <w:r w:rsidRPr="005B3B49">
              <w:rPr>
                <w:rFonts w:ascii="Times New Roman" w:hAnsi="Times New Roman"/>
                <w:color w:val="000000"/>
                <w:sz w:val="24"/>
                <w:szCs w:val="24"/>
              </w:rPr>
              <w:t>+</w:t>
            </w:r>
            <w:r w:rsidR="00AD7BD4">
              <w:rPr>
                <w:rFonts w:ascii="Times New Roman" w:hAnsi="Times New Roman"/>
                <w:color w:val="000000"/>
                <w:sz w:val="24"/>
                <w:szCs w:val="24"/>
              </w:rPr>
              <w:t>90</w:t>
            </w:r>
            <w:r w:rsidR="009F1809" w:rsidRPr="005B3B49">
              <w:rPr>
                <w:rFonts w:ascii="Times New Roman" w:hAnsi="Times New Roman"/>
                <w:color w:val="000000"/>
                <w:sz w:val="24"/>
                <w:szCs w:val="24"/>
              </w:rPr>
              <w:t>,0+</w:t>
            </w:r>
            <w:r w:rsidR="00AD7BD4">
              <w:rPr>
                <w:rFonts w:ascii="Times New Roman" w:hAnsi="Times New Roman"/>
                <w:color w:val="000000"/>
                <w:sz w:val="24"/>
                <w:szCs w:val="24"/>
              </w:rPr>
              <w:t>106,1</w:t>
            </w:r>
            <w:r w:rsidRPr="005B3B49">
              <w:rPr>
                <w:rFonts w:ascii="Times New Roman" w:hAnsi="Times New Roman"/>
                <w:color w:val="000000"/>
                <w:sz w:val="24"/>
                <w:szCs w:val="24"/>
              </w:rPr>
              <w:t>+100)/4=</w:t>
            </w:r>
            <w:r w:rsidR="00AD7BD4">
              <w:rPr>
                <w:rFonts w:ascii="Times New Roman" w:hAnsi="Times New Roman"/>
                <w:color w:val="000000"/>
                <w:sz w:val="24"/>
                <w:szCs w:val="24"/>
              </w:rPr>
              <w:t>87</w:t>
            </w:r>
            <w:r w:rsidRPr="005B3B49">
              <w:rPr>
                <w:rFonts w:ascii="Times New Roman" w:hAnsi="Times New Roman"/>
                <w:color w:val="000000"/>
                <w:sz w:val="24"/>
                <w:szCs w:val="24"/>
              </w:rPr>
              <w:t>%</w:t>
            </w:r>
          </w:p>
          <w:p w:rsidR="001213C9" w:rsidRPr="005B3B49" w:rsidRDefault="001213C9" w:rsidP="005557B4">
            <w:pPr>
              <w:rPr>
                <w:rFonts w:ascii="Times New Roman" w:hAnsi="Times New Roman"/>
                <w:color w:val="000000"/>
                <w:sz w:val="24"/>
                <w:szCs w:val="24"/>
              </w:rPr>
            </w:pPr>
            <w:r w:rsidRPr="005B3B49">
              <w:rPr>
                <w:rFonts w:ascii="Times New Roman" w:hAnsi="Times New Roman"/>
                <w:color w:val="000000"/>
                <w:sz w:val="24"/>
                <w:szCs w:val="24"/>
              </w:rPr>
              <w:t>100*0,3=30</w:t>
            </w:r>
          </w:p>
        </w:tc>
      </w:tr>
      <w:tr w:rsidR="00ED418A" w:rsidRPr="005B3B49" w:rsidTr="005557B4">
        <w:trPr>
          <w:trHeight w:val="602"/>
        </w:trPr>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Оценка степени соответствия запланированному уровню расходов К2</w:t>
            </w:r>
          </w:p>
        </w:tc>
        <w:tc>
          <w:tcPr>
            <w:tcW w:w="2268" w:type="dxa"/>
          </w:tcPr>
          <w:p w:rsidR="00ED418A" w:rsidRPr="005B3B49" w:rsidRDefault="00430F0C" w:rsidP="005557B4">
            <w:pPr>
              <w:rPr>
                <w:rFonts w:ascii="Times New Roman" w:hAnsi="Times New Roman"/>
                <w:color w:val="000000"/>
                <w:sz w:val="24"/>
                <w:szCs w:val="24"/>
              </w:rPr>
            </w:pPr>
            <w:r w:rsidRPr="005B3B49">
              <w:rPr>
                <w:rFonts w:ascii="Times New Roman" w:hAnsi="Times New Roman"/>
                <w:color w:val="000000"/>
                <w:sz w:val="24"/>
                <w:szCs w:val="24"/>
              </w:rPr>
              <w:t>0</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Фактические расходы на реализацию программы в отчетном году, тыс. руб.</w:t>
            </w:r>
          </w:p>
        </w:tc>
        <w:tc>
          <w:tcPr>
            <w:tcW w:w="2268" w:type="dxa"/>
          </w:tcPr>
          <w:p w:rsidR="00ED418A" w:rsidRPr="005B3B49" w:rsidRDefault="00430F0C" w:rsidP="005557B4">
            <w:pPr>
              <w:rPr>
                <w:rFonts w:ascii="Times New Roman" w:hAnsi="Times New Roman"/>
                <w:color w:val="000000"/>
                <w:sz w:val="24"/>
                <w:szCs w:val="24"/>
              </w:rPr>
            </w:pPr>
            <w:r w:rsidRPr="005B3B49">
              <w:rPr>
                <w:rFonts w:ascii="Times New Roman" w:hAnsi="Times New Roman"/>
                <w:color w:val="000000"/>
                <w:sz w:val="24"/>
                <w:szCs w:val="24"/>
              </w:rPr>
              <w:t>0</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Плановый объем средств бюджета, установленной программой на отчетный год, тыс. руб.</w:t>
            </w:r>
          </w:p>
        </w:tc>
        <w:tc>
          <w:tcPr>
            <w:tcW w:w="2268" w:type="dxa"/>
          </w:tcPr>
          <w:p w:rsidR="00ED418A" w:rsidRPr="005B3B49" w:rsidRDefault="00430F0C" w:rsidP="005557B4">
            <w:pPr>
              <w:rPr>
                <w:rFonts w:ascii="Times New Roman" w:hAnsi="Times New Roman"/>
                <w:color w:val="000000"/>
                <w:sz w:val="24"/>
                <w:szCs w:val="24"/>
              </w:rPr>
            </w:pPr>
            <w:r w:rsidRPr="005B3B49">
              <w:rPr>
                <w:rFonts w:ascii="Times New Roman" w:hAnsi="Times New Roman"/>
                <w:color w:val="000000"/>
                <w:sz w:val="24"/>
                <w:szCs w:val="24"/>
              </w:rPr>
              <w:t>0</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Степень выполнения программных мероприятий К3</w:t>
            </w:r>
          </w:p>
        </w:tc>
        <w:tc>
          <w:tcPr>
            <w:tcW w:w="2268" w:type="dxa"/>
          </w:tcPr>
          <w:p w:rsidR="00ED418A" w:rsidRPr="005B3B49" w:rsidRDefault="00336B8D" w:rsidP="005557B4">
            <w:pPr>
              <w:rPr>
                <w:rFonts w:ascii="Times New Roman" w:hAnsi="Times New Roman"/>
                <w:color w:val="000000"/>
                <w:sz w:val="24"/>
                <w:szCs w:val="24"/>
              </w:rPr>
            </w:pPr>
            <w:r>
              <w:rPr>
                <w:rFonts w:ascii="Times New Roman" w:hAnsi="Times New Roman"/>
                <w:color w:val="000000"/>
                <w:sz w:val="24"/>
                <w:szCs w:val="24"/>
              </w:rPr>
              <w:t>7</w:t>
            </w:r>
            <w:r w:rsidR="00D12C00">
              <w:rPr>
                <w:rFonts w:ascii="Times New Roman" w:hAnsi="Times New Roman"/>
                <w:color w:val="000000"/>
                <w:sz w:val="24"/>
                <w:szCs w:val="24"/>
              </w:rPr>
              <w:t>/8</w:t>
            </w:r>
            <w:r w:rsidR="00ED418A" w:rsidRPr="005B3B49">
              <w:rPr>
                <w:rFonts w:ascii="Times New Roman" w:hAnsi="Times New Roman"/>
                <w:color w:val="000000"/>
                <w:sz w:val="24"/>
                <w:szCs w:val="24"/>
              </w:rPr>
              <w:t>*100=</w:t>
            </w:r>
            <w:r>
              <w:rPr>
                <w:rFonts w:ascii="Times New Roman" w:hAnsi="Times New Roman"/>
                <w:color w:val="000000"/>
                <w:sz w:val="24"/>
                <w:szCs w:val="24"/>
              </w:rPr>
              <w:t>87,5</w:t>
            </w:r>
            <w:r w:rsidR="00ED418A" w:rsidRPr="005B3B49">
              <w:rPr>
                <w:rFonts w:ascii="Times New Roman" w:hAnsi="Times New Roman"/>
                <w:color w:val="000000"/>
                <w:sz w:val="24"/>
                <w:szCs w:val="24"/>
              </w:rPr>
              <w:t xml:space="preserve"> %</w:t>
            </w:r>
          </w:p>
          <w:p w:rsidR="00ED418A" w:rsidRPr="005B3B49" w:rsidRDefault="00430F0C" w:rsidP="00430F0C">
            <w:pPr>
              <w:rPr>
                <w:rFonts w:ascii="Times New Roman" w:hAnsi="Times New Roman"/>
                <w:color w:val="000000"/>
                <w:sz w:val="24"/>
                <w:szCs w:val="24"/>
              </w:rPr>
            </w:pPr>
            <w:r w:rsidRPr="005B3B49">
              <w:rPr>
                <w:rFonts w:ascii="Times New Roman" w:hAnsi="Times New Roman"/>
                <w:color w:val="000000"/>
                <w:sz w:val="24"/>
                <w:szCs w:val="24"/>
              </w:rPr>
              <w:t>100</w:t>
            </w:r>
            <w:r w:rsidR="00ED418A" w:rsidRPr="005B3B49">
              <w:rPr>
                <w:rFonts w:ascii="Times New Roman" w:hAnsi="Times New Roman"/>
                <w:color w:val="000000"/>
                <w:sz w:val="24"/>
                <w:szCs w:val="24"/>
              </w:rPr>
              <w:t>*0,25=</w:t>
            </w:r>
            <w:r w:rsidRPr="005B3B49">
              <w:rPr>
                <w:rFonts w:ascii="Times New Roman" w:hAnsi="Times New Roman"/>
                <w:color w:val="000000"/>
                <w:sz w:val="24"/>
                <w:szCs w:val="24"/>
              </w:rPr>
              <w:t>25</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 xml:space="preserve">Количество мероприятий программы, выполненных в </w:t>
            </w:r>
            <w:r w:rsidRPr="005B3B49">
              <w:rPr>
                <w:rFonts w:ascii="Times New Roman" w:hAnsi="Times New Roman"/>
                <w:color w:val="000000"/>
                <w:sz w:val="24"/>
                <w:szCs w:val="24"/>
              </w:rPr>
              <w:lastRenderedPageBreak/>
              <w:t>отчетном году, ед.</w:t>
            </w:r>
          </w:p>
        </w:tc>
        <w:tc>
          <w:tcPr>
            <w:tcW w:w="2268" w:type="dxa"/>
          </w:tcPr>
          <w:p w:rsidR="00ED418A" w:rsidRPr="005B3B49" w:rsidRDefault="00336B8D" w:rsidP="005557B4">
            <w:pPr>
              <w:rPr>
                <w:rFonts w:ascii="Times New Roman" w:hAnsi="Times New Roman"/>
                <w:color w:val="000000"/>
                <w:sz w:val="24"/>
                <w:szCs w:val="24"/>
              </w:rPr>
            </w:pPr>
            <w:r>
              <w:rPr>
                <w:rFonts w:ascii="Times New Roman" w:hAnsi="Times New Roman"/>
                <w:color w:val="000000"/>
                <w:sz w:val="24"/>
                <w:szCs w:val="24"/>
              </w:rPr>
              <w:lastRenderedPageBreak/>
              <w:t>7</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lastRenderedPageBreak/>
              <w:t>Количество мероприятий программы, запланированных к выполнению в отчетном году, ед.</w:t>
            </w:r>
          </w:p>
        </w:tc>
        <w:tc>
          <w:tcPr>
            <w:tcW w:w="2268" w:type="dxa"/>
          </w:tcPr>
          <w:p w:rsidR="00ED418A" w:rsidRPr="005B3B49" w:rsidRDefault="00D12C00" w:rsidP="00D12C00">
            <w:pPr>
              <w:rPr>
                <w:rFonts w:ascii="Times New Roman" w:hAnsi="Times New Roman"/>
                <w:color w:val="000000"/>
                <w:sz w:val="24"/>
                <w:szCs w:val="24"/>
              </w:rPr>
            </w:pPr>
            <w:r>
              <w:rPr>
                <w:rFonts w:ascii="Times New Roman" w:hAnsi="Times New Roman"/>
                <w:color w:val="000000"/>
                <w:sz w:val="24"/>
                <w:szCs w:val="24"/>
              </w:rPr>
              <w:t>8</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Сроки предоставления и качество годового отчета о ходе реализации муниципальной программы К4</w:t>
            </w:r>
          </w:p>
        </w:tc>
        <w:tc>
          <w:tcPr>
            <w:tcW w:w="2268"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100*0,1=10</w:t>
            </w:r>
          </w:p>
        </w:tc>
      </w:tr>
      <w:tr w:rsidR="00ED418A" w:rsidRPr="005B3B49" w:rsidTr="005557B4">
        <w:tc>
          <w:tcPr>
            <w:tcW w:w="7621" w:type="dxa"/>
          </w:tcPr>
          <w:p w:rsidR="00ED418A" w:rsidRPr="005B3B49" w:rsidRDefault="00ED418A" w:rsidP="005557B4">
            <w:pPr>
              <w:rPr>
                <w:rFonts w:ascii="Times New Roman" w:hAnsi="Times New Roman"/>
                <w:color w:val="000000"/>
                <w:sz w:val="24"/>
                <w:szCs w:val="24"/>
              </w:rPr>
            </w:pPr>
            <w:r w:rsidRPr="005B3B49">
              <w:rPr>
                <w:rFonts w:ascii="Times New Roman" w:hAnsi="Times New Roman"/>
                <w:color w:val="000000"/>
                <w:sz w:val="24"/>
                <w:szCs w:val="24"/>
              </w:rPr>
              <w:t>ИТОГО: К = (К1+К2+К3+К4)</w:t>
            </w:r>
          </w:p>
        </w:tc>
        <w:tc>
          <w:tcPr>
            <w:tcW w:w="2268" w:type="dxa"/>
          </w:tcPr>
          <w:p w:rsidR="00ED418A" w:rsidRPr="005B3B49" w:rsidRDefault="00ED418A" w:rsidP="001213C9">
            <w:pPr>
              <w:rPr>
                <w:rFonts w:ascii="Times New Roman" w:hAnsi="Times New Roman"/>
                <w:color w:val="000000"/>
                <w:sz w:val="24"/>
                <w:szCs w:val="24"/>
              </w:rPr>
            </w:pPr>
            <w:r w:rsidRPr="005B3B49">
              <w:rPr>
                <w:rFonts w:ascii="Times New Roman" w:hAnsi="Times New Roman"/>
                <w:color w:val="000000"/>
                <w:sz w:val="24"/>
                <w:szCs w:val="24"/>
              </w:rPr>
              <w:t>3</w:t>
            </w:r>
            <w:r w:rsidR="001213C9" w:rsidRPr="005B3B49">
              <w:rPr>
                <w:rFonts w:ascii="Times New Roman" w:hAnsi="Times New Roman"/>
                <w:color w:val="000000"/>
                <w:sz w:val="24"/>
                <w:szCs w:val="24"/>
              </w:rPr>
              <w:t>0</w:t>
            </w:r>
            <w:r w:rsidRPr="005B3B49">
              <w:rPr>
                <w:rFonts w:ascii="Times New Roman" w:hAnsi="Times New Roman"/>
                <w:color w:val="000000"/>
                <w:sz w:val="24"/>
                <w:szCs w:val="24"/>
              </w:rPr>
              <w:t>+</w:t>
            </w:r>
            <w:r w:rsidR="001213C9" w:rsidRPr="005B3B49">
              <w:rPr>
                <w:rFonts w:ascii="Times New Roman" w:hAnsi="Times New Roman"/>
                <w:color w:val="000000"/>
                <w:sz w:val="24"/>
                <w:szCs w:val="24"/>
              </w:rPr>
              <w:t>0+25</w:t>
            </w:r>
            <w:r w:rsidRPr="005B3B49">
              <w:rPr>
                <w:rFonts w:ascii="Times New Roman" w:hAnsi="Times New Roman"/>
                <w:color w:val="000000"/>
                <w:sz w:val="24"/>
                <w:szCs w:val="24"/>
              </w:rPr>
              <w:t>+10=6</w:t>
            </w:r>
            <w:r w:rsidR="001213C9" w:rsidRPr="005B3B49">
              <w:rPr>
                <w:rFonts w:ascii="Times New Roman" w:hAnsi="Times New Roman"/>
                <w:color w:val="000000"/>
                <w:sz w:val="24"/>
                <w:szCs w:val="24"/>
              </w:rPr>
              <w:t>5</w:t>
            </w:r>
          </w:p>
        </w:tc>
      </w:tr>
    </w:tbl>
    <w:p w:rsidR="00BB2648" w:rsidRPr="005B3B49" w:rsidRDefault="00BB2648" w:rsidP="00A40205">
      <w:pPr>
        <w:ind w:firstLine="708"/>
        <w:jc w:val="both"/>
        <w:rPr>
          <w:rFonts w:ascii="Times New Roman" w:hAnsi="Times New Roman"/>
          <w:sz w:val="28"/>
          <w:szCs w:val="28"/>
        </w:rPr>
      </w:pPr>
    </w:p>
    <w:p w:rsidR="00A40205" w:rsidRPr="005B3B49" w:rsidRDefault="00A40205" w:rsidP="00A40205">
      <w:pPr>
        <w:ind w:firstLine="708"/>
        <w:jc w:val="both"/>
        <w:rPr>
          <w:rFonts w:ascii="Times New Roman" w:hAnsi="Times New Roman"/>
          <w:sz w:val="28"/>
          <w:szCs w:val="28"/>
        </w:rPr>
      </w:pPr>
      <w:r w:rsidRPr="005B3B49">
        <w:rPr>
          <w:rFonts w:ascii="Times New Roman" w:hAnsi="Times New Roman"/>
          <w:sz w:val="28"/>
          <w:szCs w:val="28"/>
        </w:rPr>
        <w:t xml:space="preserve">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от 25.09.2017 г. № 1020, проведена оценка эффективности реализации муниципальной программы. </w:t>
      </w:r>
    </w:p>
    <w:p w:rsidR="008425E1" w:rsidRPr="005B3B49" w:rsidRDefault="00A40205" w:rsidP="008425E1">
      <w:pPr>
        <w:ind w:firstLine="709"/>
        <w:jc w:val="both"/>
        <w:rPr>
          <w:rFonts w:ascii="Times New Roman" w:hAnsi="Times New Roman"/>
          <w:sz w:val="28"/>
          <w:szCs w:val="28"/>
        </w:rPr>
      </w:pPr>
      <w:r w:rsidRPr="005B3B49">
        <w:rPr>
          <w:rFonts w:ascii="Times New Roman" w:hAnsi="Times New Roman"/>
          <w:sz w:val="28"/>
          <w:szCs w:val="28"/>
        </w:rPr>
        <w:t>Итоговый показатель оценки эффективности  му</w:t>
      </w:r>
      <w:r w:rsidR="00AF04A4" w:rsidRPr="005B3B49">
        <w:rPr>
          <w:rFonts w:ascii="Times New Roman" w:hAnsi="Times New Roman"/>
          <w:sz w:val="28"/>
          <w:szCs w:val="28"/>
        </w:rPr>
        <w:t>ниципальной программы составил</w:t>
      </w:r>
      <w:r w:rsidR="001213C9" w:rsidRPr="005B3B49">
        <w:rPr>
          <w:rFonts w:ascii="Times New Roman" w:hAnsi="Times New Roman"/>
          <w:sz w:val="28"/>
          <w:szCs w:val="28"/>
        </w:rPr>
        <w:t xml:space="preserve"> </w:t>
      </w:r>
      <w:r w:rsidR="00CF4F3F" w:rsidRPr="005B3B49">
        <w:rPr>
          <w:rFonts w:ascii="Times New Roman" w:hAnsi="Times New Roman"/>
          <w:sz w:val="28"/>
          <w:szCs w:val="28"/>
        </w:rPr>
        <w:t>65</w:t>
      </w:r>
      <w:r w:rsidR="00D663B7" w:rsidRPr="005B3B49">
        <w:rPr>
          <w:rFonts w:ascii="Times New Roman" w:hAnsi="Times New Roman"/>
          <w:sz w:val="28"/>
          <w:szCs w:val="28"/>
        </w:rPr>
        <w:t xml:space="preserve"> </w:t>
      </w:r>
      <w:r w:rsidRPr="005B3B49">
        <w:rPr>
          <w:rFonts w:ascii="Times New Roman" w:hAnsi="Times New Roman"/>
          <w:sz w:val="28"/>
          <w:szCs w:val="28"/>
        </w:rPr>
        <w:t>баллов  - программа</w:t>
      </w:r>
      <w:r w:rsidR="001213C9" w:rsidRPr="005B3B49">
        <w:rPr>
          <w:rFonts w:ascii="Times New Roman" w:hAnsi="Times New Roman"/>
          <w:sz w:val="28"/>
          <w:szCs w:val="28"/>
        </w:rPr>
        <w:t xml:space="preserve"> достаточно эффективная</w:t>
      </w:r>
      <w:r w:rsidR="008425E1" w:rsidRPr="005B3B49">
        <w:rPr>
          <w:rFonts w:ascii="Times New Roman" w:hAnsi="Times New Roman"/>
          <w:sz w:val="28"/>
          <w:szCs w:val="28"/>
        </w:rPr>
        <w:t>, основная причина низкого показателя – отсутствие финансирования.</w:t>
      </w:r>
    </w:p>
    <w:p w:rsidR="00ED418A" w:rsidRPr="005B3B49" w:rsidRDefault="00ED418A" w:rsidP="007142EC">
      <w:pPr>
        <w:rPr>
          <w:rFonts w:ascii="Times New Roman" w:hAnsi="Times New Roman"/>
          <w:b/>
          <w:color w:val="000000"/>
          <w:sz w:val="27"/>
          <w:szCs w:val="27"/>
        </w:rPr>
      </w:pPr>
    </w:p>
    <w:p w:rsidR="002E476B" w:rsidRPr="005B3B49" w:rsidRDefault="002E476B" w:rsidP="005305A4">
      <w:pPr>
        <w:ind w:firstLine="567"/>
        <w:jc w:val="both"/>
        <w:rPr>
          <w:rFonts w:ascii="Times New Roman" w:hAnsi="Times New Roman"/>
          <w:bCs/>
          <w:iCs/>
          <w:sz w:val="28"/>
          <w:szCs w:val="28"/>
        </w:rPr>
      </w:pPr>
    </w:p>
    <w:p w:rsidR="00A11209" w:rsidRPr="005B3B49" w:rsidRDefault="00213D70" w:rsidP="00B57306">
      <w:pPr>
        <w:rPr>
          <w:rFonts w:ascii="Times New Roman" w:hAnsi="Times New Roman"/>
          <w:b/>
          <w:sz w:val="28"/>
          <w:szCs w:val="28"/>
        </w:rPr>
      </w:pPr>
      <w:r w:rsidRPr="005B3B49">
        <w:rPr>
          <w:rFonts w:ascii="Times New Roman" w:hAnsi="Times New Roman"/>
          <w:b/>
          <w:sz w:val="28"/>
          <w:szCs w:val="28"/>
        </w:rPr>
        <w:t>Пояснительная записка к годовому отчету</w:t>
      </w:r>
    </w:p>
    <w:p w:rsidR="00213D70" w:rsidRPr="005B3B49" w:rsidRDefault="00213D70" w:rsidP="00B57306">
      <w:pPr>
        <w:rPr>
          <w:rFonts w:ascii="Times New Roman" w:hAnsi="Times New Roman"/>
          <w:b/>
          <w:sz w:val="28"/>
          <w:szCs w:val="28"/>
        </w:rPr>
      </w:pPr>
    </w:p>
    <w:p w:rsidR="00213D70" w:rsidRPr="005B3B49" w:rsidRDefault="00213D70" w:rsidP="00213D70">
      <w:pPr>
        <w:ind w:firstLine="567"/>
        <w:jc w:val="both"/>
        <w:rPr>
          <w:rFonts w:ascii="Times New Roman" w:hAnsi="Times New Roman"/>
          <w:sz w:val="28"/>
          <w:szCs w:val="28"/>
        </w:rPr>
      </w:pPr>
      <w:r w:rsidRPr="005B3B49">
        <w:rPr>
          <w:rFonts w:ascii="Times New Roman" w:hAnsi="Times New Roman"/>
          <w:sz w:val="28"/>
          <w:szCs w:val="28"/>
        </w:rPr>
        <w:t xml:space="preserve">Постановлением администрации Калининского муниципального района от </w:t>
      </w:r>
      <w:r w:rsidR="00DC6DCA" w:rsidRPr="00DC6DCA">
        <w:rPr>
          <w:rFonts w:ascii="Times New Roman" w:hAnsi="Times New Roman"/>
          <w:sz w:val="28"/>
          <w:szCs w:val="28"/>
        </w:rPr>
        <w:t xml:space="preserve"> 25</w:t>
      </w:r>
      <w:r w:rsidR="00DC6DCA">
        <w:rPr>
          <w:rFonts w:ascii="Times New Roman" w:hAnsi="Times New Roman" w:cstheme="minorBidi"/>
          <w:sz w:val="28"/>
          <w:szCs w:val="25"/>
          <w:lang w:bidi="hi-IN"/>
        </w:rPr>
        <w:t>.07.</w:t>
      </w:r>
      <w:r w:rsidR="00DC6DCA" w:rsidRPr="00DC6DCA">
        <w:rPr>
          <w:rFonts w:ascii="Times New Roman" w:hAnsi="Times New Roman"/>
          <w:sz w:val="28"/>
          <w:szCs w:val="28"/>
        </w:rPr>
        <w:t xml:space="preserve">2022 </w:t>
      </w:r>
      <w:r w:rsidRPr="005B3B49">
        <w:rPr>
          <w:rFonts w:ascii="Times New Roman" w:hAnsi="Times New Roman"/>
          <w:sz w:val="28"/>
          <w:szCs w:val="28"/>
        </w:rPr>
        <w:t xml:space="preserve"> г. № </w:t>
      </w:r>
      <w:r w:rsidR="00DC6DCA">
        <w:rPr>
          <w:rFonts w:ascii="Times New Roman" w:hAnsi="Times New Roman"/>
          <w:sz w:val="28"/>
          <w:szCs w:val="28"/>
        </w:rPr>
        <w:t>931</w:t>
      </w:r>
      <w:r w:rsidRPr="005B3B49">
        <w:rPr>
          <w:rFonts w:ascii="Times New Roman" w:hAnsi="Times New Roman"/>
          <w:sz w:val="28"/>
          <w:szCs w:val="28"/>
        </w:rPr>
        <w:t xml:space="preserve"> утверждена муниципальная программа «</w:t>
      </w:r>
      <w:r w:rsidR="00DC6DCA" w:rsidRPr="00DC6DCA">
        <w:rPr>
          <w:rFonts w:ascii="Times New Roman" w:hAnsi="Times New Roman"/>
          <w:bCs/>
          <w:sz w:val="28"/>
          <w:szCs w:val="28"/>
        </w:rPr>
        <w:t>Обесп</w:t>
      </w:r>
      <w:r w:rsidR="00DC6DCA" w:rsidRPr="00DC6DCA">
        <w:rPr>
          <w:rFonts w:ascii="Times New Roman" w:hAnsi="Times New Roman" w:cstheme="minorBidi"/>
          <w:bCs/>
          <w:sz w:val="28"/>
          <w:szCs w:val="25"/>
          <w:lang w:bidi="hi-IN"/>
        </w:rPr>
        <w:t>ечение</w:t>
      </w:r>
      <w:r w:rsidR="00DC6DCA" w:rsidRPr="00DC6DCA">
        <w:rPr>
          <w:rFonts w:ascii="Times New Roman" w:hAnsi="Times New Roman"/>
          <w:bCs/>
          <w:sz w:val="28"/>
          <w:szCs w:val="28"/>
        </w:rPr>
        <w:t xml:space="preserve">  защиты прав потребителей в Калининском муниципальном районе Саратовской области  на 2022-2025 годы</w:t>
      </w:r>
      <w:r w:rsidRPr="005B3B49">
        <w:rPr>
          <w:rFonts w:ascii="Times New Roman" w:hAnsi="Times New Roman"/>
          <w:sz w:val="28"/>
          <w:szCs w:val="28"/>
        </w:rPr>
        <w:t>».</w:t>
      </w:r>
    </w:p>
    <w:p w:rsidR="00213D70" w:rsidRPr="005B3B49" w:rsidRDefault="00213D70" w:rsidP="00213D70">
      <w:pPr>
        <w:ind w:firstLine="567"/>
        <w:jc w:val="both"/>
        <w:rPr>
          <w:rFonts w:ascii="Times New Roman" w:hAnsi="Times New Roman"/>
          <w:sz w:val="28"/>
          <w:szCs w:val="28"/>
        </w:rPr>
      </w:pPr>
      <w:r w:rsidRPr="005B3B49">
        <w:rPr>
          <w:rFonts w:ascii="Times New Roman" w:hAnsi="Times New Roman"/>
          <w:sz w:val="28"/>
          <w:szCs w:val="28"/>
        </w:rPr>
        <w:t xml:space="preserve"> </w:t>
      </w:r>
      <w:r w:rsidR="00507A73" w:rsidRPr="005B3B49">
        <w:rPr>
          <w:rFonts w:ascii="Times New Roman" w:hAnsi="Times New Roman"/>
          <w:sz w:val="28"/>
          <w:szCs w:val="28"/>
        </w:rPr>
        <w:t>Основ</w:t>
      </w:r>
      <w:r w:rsidR="001039A8" w:rsidRPr="005B3B49">
        <w:rPr>
          <w:rFonts w:ascii="Times New Roman" w:hAnsi="Times New Roman"/>
          <w:sz w:val="28"/>
          <w:szCs w:val="28"/>
        </w:rPr>
        <w:t>ная цель программы -</w:t>
      </w:r>
      <w:r w:rsidRPr="005B3B49">
        <w:rPr>
          <w:rFonts w:ascii="Times New Roman" w:hAnsi="Times New Roman"/>
          <w:sz w:val="28"/>
          <w:szCs w:val="28"/>
        </w:rPr>
        <w:t xml:space="preserve"> установление эффективной и доступной системы по защите прав потребителей в условиях современных рыночных отношений, а также защиты потребительского рынка от  некачественных товаров, работ и услуг.</w:t>
      </w:r>
    </w:p>
    <w:p w:rsidR="00213D70" w:rsidRPr="005B3B49" w:rsidRDefault="00213D70" w:rsidP="00213D70">
      <w:pPr>
        <w:ind w:firstLine="567"/>
        <w:jc w:val="both"/>
        <w:rPr>
          <w:rFonts w:ascii="Times New Roman" w:hAnsi="Times New Roman"/>
          <w:sz w:val="28"/>
          <w:szCs w:val="28"/>
        </w:rPr>
      </w:pPr>
      <w:r w:rsidRPr="005B3B49">
        <w:rPr>
          <w:rFonts w:ascii="Times New Roman" w:hAnsi="Times New Roman"/>
          <w:sz w:val="28"/>
          <w:szCs w:val="28"/>
        </w:rPr>
        <w:t xml:space="preserve">За отчетный период по вопросу защиты прав потребителей в отдел экономики и потребительского рынка администрации Калининского муниципального района обратилось </w:t>
      </w:r>
      <w:r w:rsidR="0018064B">
        <w:rPr>
          <w:rFonts w:ascii="Times New Roman" w:hAnsi="Times New Roman"/>
          <w:sz w:val="28"/>
          <w:szCs w:val="28"/>
        </w:rPr>
        <w:t>2</w:t>
      </w:r>
      <w:r w:rsidRPr="005B3B49">
        <w:rPr>
          <w:rFonts w:ascii="Times New Roman" w:hAnsi="Times New Roman"/>
          <w:sz w:val="28"/>
          <w:szCs w:val="28"/>
        </w:rPr>
        <w:t xml:space="preserve"> жител</w:t>
      </w:r>
      <w:r w:rsidR="0018064B">
        <w:rPr>
          <w:rFonts w:ascii="Times New Roman" w:hAnsi="Times New Roman"/>
          <w:sz w:val="28"/>
          <w:szCs w:val="28"/>
        </w:rPr>
        <w:t>я</w:t>
      </w:r>
      <w:r w:rsidRPr="005B3B49">
        <w:rPr>
          <w:rFonts w:ascii="Times New Roman" w:hAnsi="Times New Roman"/>
          <w:sz w:val="28"/>
          <w:szCs w:val="28"/>
        </w:rPr>
        <w:t xml:space="preserve"> района (</w:t>
      </w:r>
      <w:r w:rsidR="00DC6DCA">
        <w:rPr>
          <w:rFonts w:ascii="Times New Roman" w:hAnsi="Times New Roman"/>
          <w:sz w:val="28"/>
          <w:szCs w:val="28"/>
        </w:rPr>
        <w:t>100</w:t>
      </w:r>
      <w:r w:rsidRPr="005B3B49">
        <w:rPr>
          <w:rFonts w:ascii="Times New Roman" w:hAnsi="Times New Roman"/>
          <w:sz w:val="28"/>
          <w:szCs w:val="28"/>
        </w:rPr>
        <w:t xml:space="preserve"> % к уровню 20</w:t>
      </w:r>
      <w:r w:rsidR="0018064B">
        <w:rPr>
          <w:rFonts w:ascii="Times New Roman" w:hAnsi="Times New Roman"/>
          <w:sz w:val="28"/>
          <w:szCs w:val="28"/>
        </w:rPr>
        <w:t>2</w:t>
      </w:r>
      <w:r w:rsidR="00DC6DCA">
        <w:rPr>
          <w:rFonts w:ascii="Times New Roman" w:hAnsi="Times New Roman"/>
          <w:sz w:val="28"/>
          <w:szCs w:val="28"/>
        </w:rPr>
        <w:t>1</w:t>
      </w:r>
      <w:r w:rsidRPr="005B3B49">
        <w:rPr>
          <w:rFonts w:ascii="Times New Roman" w:hAnsi="Times New Roman"/>
          <w:sz w:val="28"/>
          <w:szCs w:val="28"/>
        </w:rPr>
        <w:t xml:space="preserve"> г.).</w:t>
      </w:r>
      <w:r w:rsidR="0018064B">
        <w:rPr>
          <w:rFonts w:ascii="Times New Roman" w:hAnsi="Times New Roman"/>
          <w:sz w:val="28"/>
          <w:szCs w:val="28"/>
        </w:rPr>
        <w:t xml:space="preserve"> </w:t>
      </w:r>
      <w:r w:rsidR="00DC6DCA">
        <w:rPr>
          <w:rFonts w:ascii="Times New Roman" w:hAnsi="Times New Roman"/>
          <w:sz w:val="28"/>
          <w:szCs w:val="28"/>
        </w:rPr>
        <w:t>О</w:t>
      </w:r>
      <w:r w:rsidR="0018064B">
        <w:rPr>
          <w:rFonts w:ascii="Times New Roman" w:hAnsi="Times New Roman"/>
          <w:sz w:val="28"/>
          <w:szCs w:val="28"/>
        </w:rPr>
        <w:t xml:space="preserve">бращений по телефону составило – </w:t>
      </w:r>
      <w:r w:rsidR="00DC6DCA">
        <w:rPr>
          <w:rFonts w:ascii="Times New Roman" w:hAnsi="Times New Roman"/>
          <w:sz w:val="28"/>
          <w:szCs w:val="28"/>
        </w:rPr>
        <w:t>10 ед.  в 2 раза больше, чем в 2021 году</w:t>
      </w:r>
      <w:r w:rsidR="0018064B">
        <w:rPr>
          <w:rFonts w:ascii="Times New Roman" w:hAnsi="Times New Roman"/>
          <w:sz w:val="28"/>
          <w:szCs w:val="28"/>
        </w:rPr>
        <w:t>.</w:t>
      </w:r>
      <w:r w:rsidRPr="005B3B49">
        <w:rPr>
          <w:rFonts w:ascii="Times New Roman" w:hAnsi="Times New Roman"/>
          <w:sz w:val="28"/>
          <w:szCs w:val="28"/>
        </w:rPr>
        <w:t xml:space="preserve"> </w:t>
      </w:r>
      <w:r w:rsidR="00981678" w:rsidRPr="005B3B49">
        <w:rPr>
          <w:rFonts w:ascii="Times New Roman" w:hAnsi="Times New Roman"/>
          <w:sz w:val="28"/>
          <w:szCs w:val="28"/>
        </w:rPr>
        <w:t>Доля о</w:t>
      </w:r>
      <w:r w:rsidRPr="005B3B49">
        <w:rPr>
          <w:rFonts w:ascii="Times New Roman" w:hAnsi="Times New Roman"/>
          <w:sz w:val="28"/>
          <w:szCs w:val="28"/>
        </w:rPr>
        <w:t>бращени</w:t>
      </w:r>
      <w:r w:rsidR="00D137A6" w:rsidRPr="005B3B49">
        <w:rPr>
          <w:rFonts w:ascii="Times New Roman" w:hAnsi="Times New Roman"/>
          <w:sz w:val="28"/>
          <w:szCs w:val="28"/>
        </w:rPr>
        <w:t>й</w:t>
      </w:r>
      <w:r w:rsidRPr="005B3B49">
        <w:rPr>
          <w:rFonts w:ascii="Times New Roman" w:hAnsi="Times New Roman"/>
          <w:sz w:val="28"/>
          <w:szCs w:val="28"/>
        </w:rPr>
        <w:t xml:space="preserve"> по вопросам и спорным ситуациям, возникающим в сфере розничной торговли</w:t>
      </w:r>
      <w:r w:rsidR="00981678" w:rsidRPr="005B3B49">
        <w:rPr>
          <w:rFonts w:ascii="Times New Roman" w:hAnsi="Times New Roman"/>
          <w:sz w:val="28"/>
          <w:szCs w:val="28"/>
        </w:rPr>
        <w:t xml:space="preserve"> составила </w:t>
      </w:r>
      <w:r w:rsidR="0018064B">
        <w:rPr>
          <w:rFonts w:ascii="Times New Roman" w:hAnsi="Times New Roman"/>
          <w:sz w:val="28"/>
          <w:szCs w:val="28"/>
        </w:rPr>
        <w:t>10</w:t>
      </w:r>
      <w:r w:rsidR="00981678" w:rsidRPr="005B3B49">
        <w:rPr>
          <w:rFonts w:ascii="Times New Roman" w:hAnsi="Times New Roman"/>
          <w:sz w:val="28"/>
          <w:szCs w:val="28"/>
        </w:rPr>
        <w:t>0 %</w:t>
      </w:r>
      <w:r w:rsidR="0018064B">
        <w:rPr>
          <w:rFonts w:ascii="Times New Roman" w:hAnsi="Times New Roman"/>
          <w:sz w:val="28"/>
          <w:szCs w:val="28"/>
        </w:rPr>
        <w:t>.</w:t>
      </w:r>
      <w:r w:rsidR="00930463" w:rsidRPr="005B3B49">
        <w:rPr>
          <w:rFonts w:ascii="Times New Roman" w:hAnsi="Times New Roman"/>
          <w:sz w:val="28"/>
          <w:szCs w:val="28"/>
        </w:rPr>
        <w:t xml:space="preserve"> Все обращения зафиксированы в журнале регистрации.</w:t>
      </w:r>
    </w:p>
    <w:p w:rsidR="00EA74E7" w:rsidRPr="005B3B49" w:rsidRDefault="00EA74E7" w:rsidP="00EA74E7">
      <w:pPr>
        <w:ind w:firstLine="567"/>
        <w:jc w:val="both"/>
        <w:rPr>
          <w:rFonts w:ascii="Times New Roman" w:hAnsi="Times New Roman"/>
          <w:sz w:val="28"/>
          <w:szCs w:val="28"/>
        </w:rPr>
      </w:pPr>
      <w:r w:rsidRPr="005B3B49">
        <w:rPr>
          <w:rFonts w:ascii="Times New Roman" w:hAnsi="Times New Roman"/>
          <w:sz w:val="28"/>
          <w:szCs w:val="28"/>
        </w:rPr>
        <w:t xml:space="preserve">Всем обратившимся в отдел экономики и потребительского рынка даны консультации, </w:t>
      </w:r>
      <w:r w:rsidR="0018064B">
        <w:rPr>
          <w:rFonts w:ascii="Times New Roman" w:hAnsi="Times New Roman"/>
          <w:sz w:val="28"/>
          <w:szCs w:val="28"/>
        </w:rPr>
        <w:t>2</w:t>
      </w:r>
      <w:r w:rsidRPr="005B3B49">
        <w:rPr>
          <w:rFonts w:ascii="Times New Roman" w:hAnsi="Times New Roman"/>
          <w:sz w:val="28"/>
          <w:szCs w:val="28"/>
        </w:rPr>
        <w:t xml:space="preserve"> гражданам оказана помощь в составлении претензий. </w:t>
      </w:r>
    </w:p>
    <w:p w:rsidR="00213D70" w:rsidRPr="005B3B49" w:rsidRDefault="00F95353" w:rsidP="00213D70">
      <w:pPr>
        <w:ind w:firstLine="567"/>
        <w:jc w:val="both"/>
        <w:rPr>
          <w:rFonts w:ascii="Times New Roman" w:hAnsi="Times New Roman"/>
          <w:sz w:val="28"/>
          <w:szCs w:val="28"/>
        </w:rPr>
      </w:pPr>
      <w:r w:rsidRPr="005B3B49">
        <w:rPr>
          <w:rFonts w:ascii="Times New Roman" w:hAnsi="Times New Roman"/>
          <w:sz w:val="28"/>
          <w:szCs w:val="28"/>
        </w:rPr>
        <w:t>За отчетный год граждане по вопросам защиты прав потребителей в администрации муниципальных образований района не обращались.</w:t>
      </w:r>
      <w:r w:rsidR="00213D70" w:rsidRPr="005B3B49">
        <w:rPr>
          <w:rFonts w:ascii="Times New Roman" w:hAnsi="Times New Roman"/>
          <w:sz w:val="28"/>
          <w:szCs w:val="28"/>
        </w:rPr>
        <w:t xml:space="preserve"> </w:t>
      </w:r>
    </w:p>
    <w:p w:rsidR="00E37BB4" w:rsidRPr="005B3B49" w:rsidRDefault="00E37BB4" w:rsidP="00E37BB4">
      <w:pPr>
        <w:ind w:firstLine="567"/>
        <w:jc w:val="both"/>
        <w:rPr>
          <w:rFonts w:ascii="Times New Roman" w:hAnsi="Times New Roman"/>
          <w:sz w:val="28"/>
          <w:szCs w:val="28"/>
        </w:rPr>
      </w:pPr>
      <w:r w:rsidRPr="005B3B49">
        <w:rPr>
          <w:rFonts w:ascii="Times New Roman" w:hAnsi="Times New Roman"/>
          <w:sz w:val="28"/>
          <w:szCs w:val="28"/>
        </w:rPr>
        <w:t>Письменные жалобы о не соблюдении прав потребителей и правил торгового, бытового и иных видов обслуживания хозяйствующими субъектами в администрацию района не поступали.</w:t>
      </w:r>
    </w:p>
    <w:p w:rsidR="00D8258E" w:rsidRPr="005B3B49" w:rsidRDefault="0004710E" w:rsidP="00D8258E">
      <w:pPr>
        <w:ind w:firstLine="567"/>
        <w:jc w:val="both"/>
        <w:rPr>
          <w:rFonts w:ascii="Times New Roman" w:hAnsi="Times New Roman"/>
          <w:sz w:val="28"/>
          <w:szCs w:val="28"/>
        </w:rPr>
      </w:pPr>
      <w:r w:rsidRPr="005B3B49">
        <w:rPr>
          <w:rFonts w:ascii="Times New Roman" w:hAnsi="Times New Roman"/>
          <w:sz w:val="28"/>
          <w:szCs w:val="28"/>
        </w:rPr>
        <w:t>Для повышения правовой грамотности населения, информирования потребителей о некачественных и опасных товарах и услугах отделом экономики и потребительского рынка совместно с Роспотребнадзором, ФБУЗ «Центр гигиены и эпидемиологии в Саратовской области»</w:t>
      </w:r>
      <w:r w:rsidRPr="005B3B49">
        <w:rPr>
          <w:b/>
          <w:sz w:val="24"/>
          <w:szCs w:val="24"/>
        </w:rPr>
        <w:t xml:space="preserve"> </w:t>
      </w:r>
      <w:r w:rsidRPr="005B3B49">
        <w:rPr>
          <w:rFonts w:ascii="Times New Roman" w:hAnsi="Times New Roman"/>
          <w:sz w:val="28"/>
          <w:szCs w:val="28"/>
        </w:rPr>
        <w:t xml:space="preserve"> на официальном </w:t>
      </w:r>
      <w:r w:rsidRPr="005B3B49">
        <w:rPr>
          <w:rFonts w:ascii="Times New Roman" w:hAnsi="Times New Roman"/>
          <w:sz w:val="28"/>
          <w:szCs w:val="28"/>
        </w:rPr>
        <w:lastRenderedPageBreak/>
        <w:t>сайте администрации в разделе «Защита прав потребителей»</w:t>
      </w:r>
      <w:r w:rsidR="00DC6DCA">
        <w:rPr>
          <w:rFonts w:ascii="Times New Roman" w:hAnsi="Times New Roman"/>
          <w:sz w:val="28"/>
          <w:szCs w:val="28"/>
        </w:rPr>
        <w:t xml:space="preserve">, а также в других разделах сайта и соц. аккаунтах </w:t>
      </w:r>
      <w:r w:rsidRPr="005B3B49">
        <w:rPr>
          <w:rFonts w:ascii="Times New Roman" w:hAnsi="Times New Roman"/>
          <w:sz w:val="28"/>
          <w:szCs w:val="28"/>
        </w:rPr>
        <w:t xml:space="preserve"> размещено </w:t>
      </w:r>
      <w:r w:rsidR="00011B24" w:rsidRPr="005B3B49">
        <w:rPr>
          <w:rFonts w:ascii="Times New Roman" w:hAnsi="Times New Roman"/>
          <w:sz w:val="28"/>
          <w:szCs w:val="28"/>
        </w:rPr>
        <w:t>1</w:t>
      </w:r>
      <w:r w:rsidR="0018064B">
        <w:rPr>
          <w:rFonts w:ascii="Times New Roman" w:hAnsi="Times New Roman"/>
          <w:sz w:val="28"/>
          <w:szCs w:val="28"/>
        </w:rPr>
        <w:t>8</w:t>
      </w:r>
      <w:r w:rsidRPr="005B3B49">
        <w:rPr>
          <w:rFonts w:ascii="Times New Roman" w:hAnsi="Times New Roman"/>
          <w:sz w:val="28"/>
          <w:szCs w:val="28"/>
        </w:rPr>
        <w:t xml:space="preserve"> информационных материалов. Также информация по вопросам защиты прав потребителей размещалась на информационных стендах администраций</w:t>
      </w:r>
      <w:r w:rsidR="00CF4F3F" w:rsidRPr="005B3B49">
        <w:rPr>
          <w:rFonts w:ascii="Times New Roman" w:hAnsi="Times New Roman"/>
          <w:sz w:val="28"/>
          <w:szCs w:val="28"/>
        </w:rPr>
        <w:t xml:space="preserve"> сельских поселений</w:t>
      </w:r>
      <w:r w:rsidRPr="005B3B49">
        <w:rPr>
          <w:rFonts w:ascii="Times New Roman" w:hAnsi="Times New Roman"/>
          <w:sz w:val="28"/>
          <w:szCs w:val="28"/>
        </w:rPr>
        <w:t>.</w:t>
      </w:r>
      <w:r w:rsidR="00D8258E" w:rsidRPr="00D8258E">
        <w:rPr>
          <w:rFonts w:ascii="Times New Roman" w:hAnsi="Times New Roman"/>
          <w:sz w:val="28"/>
          <w:szCs w:val="28"/>
        </w:rPr>
        <w:t xml:space="preserve"> </w:t>
      </w:r>
      <w:r w:rsidR="00D8258E" w:rsidRPr="005B3B49">
        <w:rPr>
          <w:rFonts w:ascii="Times New Roman" w:hAnsi="Times New Roman"/>
          <w:sz w:val="28"/>
          <w:szCs w:val="28"/>
        </w:rPr>
        <w:t>Администрациями муниципальных образований района подготовлен и распространен 10</w:t>
      </w:r>
      <w:r w:rsidR="00DC6DCA">
        <w:rPr>
          <w:rFonts w:ascii="Times New Roman" w:hAnsi="Times New Roman"/>
          <w:sz w:val="28"/>
          <w:szCs w:val="28"/>
        </w:rPr>
        <w:t>8</w:t>
      </w:r>
      <w:r w:rsidR="00D8258E" w:rsidRPr="005B3B49">
        <w:rPr>
          <w:rFonts w:ascii="Times New Roman" w:hAnsi="Times New Roman"/>
          <w:sz w:val="28"/>
          <w:szCs w:val="28"/>
        </w:rPr>
        <w:t xml:space="preserve"> информационный материал по вопросам защиты прав потребителей (буклеты, памятки, информационные листки).</w:t>
      </w:r>
    </w:p>
    <w:p w:rsidR="00DC6DCA" w:rsidRPr="00DC6DCA" w:rsidRDefault="00DC6DCA" w:rsidP="00DC6DCA">
      <w:pPr>
        <w:pStyle w:val="ConsPlusNormal"/>
        <w:ind w:firstLine="0"/>
        <w:outlineLvl w:val="0"/>
        <w:rPr>
          <w:rFonts w:ascii="Times New Roman" w:hAnsi="Times New Roman" w:cs="Times New Roman"/>
          <w:sz w:val="28"/>
          <w:szCs w:val="28"/>
        </w:rPr>
      </w:pPr>
      <w:r>
        <w:rPr>
          <w:rFonts w:ascii="Times New Roman" w:hAnsi="Times New Roman" w:cs="Times New Roman"/>
        </w:rPr>
        <w:t xml:space="preserve">        </w:t>
      </w:r>
      <w:r w:rsidRPr="00DC6DCA">
        <w:rPr>
          <w:rFonts w:ascii="Times New Roman" w:hAnsi="Times New Roman" w:cs="Times New Roman"/>
          <w:sz w:val="28"/>
          <w:szCs w:val="28"/>
        </w:rPr>
        <w:t xml:space="preserve">Организованы и действуют телефоны  «горячие линии» по вопросам защиты прав потребителей: </w:t>
      </w:r>
    </w:p>
    <w:p w:rsidR="00DC6DCA" w:rsidRPr="00DC6DCA" w:rsidRDefault="00DC6DCA" w:rsidP="00DC6DCA">
      <w:pPr>
        <w:pStyle w:val="ConsPlusNormal"/>
        <w:ind w:firstLine="0"/>
        <w:outlineLvl w:val="0"/>
        <w:rPr>
          <w:rFonts w:ascii="Times New Roman" w:hAnsi="Times New Roman" w:cs="Times New Roman"/>
          <w:sz w:val="28"/>
          <w:szCs w:val="28"/>
        </w:rPr>
      </w:pPr>
      <w:r w:rsidRPr="00DC6DCA">
        <w:rPr>
          <w:rFonts w:ascii="Times New Roman" w:hAnsi="Times New Roman" w:cs="Times New Roman"/>
          <w:sz w:val="28"/>
          <w:szCs w:val="28"/>
        </w:rPr>
        <w:t>8(84549) 3-15-04;8(84549) 3-14-78.</w:t>
      </w:r>
    </w:p>
    <w:p w:rsidR="00DC6DCA" w:rsidRDefault="00DC6DCA" w:rsidP="00DC6DCA">
      <w:pPr>
        <w:jc w:val="both"/>
        <w:rPr>
          <w:rFonts w:ascii="Times New Roman" w:hAnsi="Times New Roman"/>
          <w:sz w:val="32"/>
          <w:szCs w:val="32"/>
        </w:rPr>
      </w:pPr>
      <w:r w:rsidRPr="00DC6DCA">
        <w:rPr>
          <w:rFonts w:ascii="Times New Roman" w:hAnsi="Times New Roman"/>
          <w:sz w:val="32"/>
          <w:szCs w:val="32"/>
        </w:rPr>
        <w:t xml:space="preserve">      Привлечение населения по обращению  во в</w:t>
      </w:r>
      <w:r w:rsidRPr="00DC6DCA">
        <w:rPr>
          <w:rFonts w:ascii="Times New Roman" w:hAnsi="Times New Roman"/>
          <w:color w:val="000000"/>
          <w:sz w:val="32"/>
          <w:szCs w:val="32"/>
        </w:rPr>
        <w:t xml:space="preserve">сероссийскую «горячая линия» по вопросам качества и безопасности детских товаров, выбора новогодних подарков  по ссылке: </w:t>
      </w:r>
      <w:hyperlink r:id="rId8" w:history="1">
        <w:r w:rsidRPr="00DC6DCA">
          <w:rPr>
            <w:rStyle w:val="a5"/>
            <w:rFonts w:ascii="Times New Roman" w:hAnsi="Times New Roman" w:cs="Times New Roman"/>
            <w:sz w:val="28"/>
            <w:szCs w:val="28"/>
          </w:rPr>
          <w:t>http://kalininsk.sarmo.ru/ekonomika/novosti/?ELEMENT_ID=21557</w:t>
        </w:r>
      </w:hyperlink>
      <w:r>
        <w:rPr>
          <w:rFonts w:ascii="Times New Roman" w:hAnsi="Times New Roman"/>
          <w:sz w:val="32"/>
          <w:szCs w:val="32"/>
        </w:rPr>
        <w:t>.</w:t>
      </w:r>
    </w:p>
    <w:p w:rsidR="00D8258E" w:rsidRPr="006470E5" w:rsidRDefault="00DC6DCA" w:rsidP="00DC6DCA">
      <w:pPr>
        <w:jc w:val="both"/>
        <w:rPr>
          <w:rFonts w:ascii="Times New Roman" w:hAnsi="Times New Roman"/>
          <w:sz w:val="36"/>
          <w:szCs w:val="36"/>
        </w:rPr>
      </w:pPr>
      <w:r w:rsidRPr="006470E5">
        <w:rPr>
          <w:rFonts w:ascii="Times New Roman" w:hAnsi="Times New Roman"/>
          <w:sz w:val="40"/>
          <w:szCs w:val="40"/>
        </w:rPr>
        <w:t xml:space="preserve">       </w:t>
      </w:r>
      <w:r w:rsidRPr="006470E5">
        <w:rPr>
          <w:rFonts w:ascii="Times New Roman" w:hAnsi="Times New Roman"/>
          <w:color w:val="000000"/>
          <w:sz w:val="28"/>
          <w:szCs w:val="28"/>
        </w:rPr>
        <w:t>В образовательных учреждения Калининского муниципального района в рамках Всемирного дня защиты прав потребителей с 15.03.2022 г. по 17.03.2022 г. проводились конкурсы, беседы классные часы, уроки-обсуждения, ток-шоу, деловые игры, в которых приняло участие  1678 человек.</w:t>
      </w:r>
    </w:p>
    <w:p w:rsidR="0004710E" w:rsidRDefault="0004710E" w:rsidP="0004710E">
      <w:pPr>
        <w:ind w:firstLine="567"/>
        <w:jc w:val="both"/>
        <w:rPr>
          <w:rFonts w:ascii="Times New Roman" w:hAnsi="Times New Roman"/>
          <w:sz w:val="28"/>
          <w:szCs w:val="28"/>
        </w:rPr>
      </w:pPr>
    </w:p>
    <w:p w:rsidR="00D8258E" w:rsidRPr="005B3B49" w:rsidRDefault="00D8258E" w:rsidP="0004710E">
      <w:pPr>
        <w:ind w:firstLine="567"/>
        <w:jc w:val="both"/>
        <w:rPr>
          <w:rFonts w:ascii="Times New Roman" w:hAnsi="Times New Roman"/>
          <w:sz w:val="28"/>
          <w:szCs w:val="28"/>
        </w:rPr>
      </w:pPr>
    </w:p>
    <w:p w:rsidR="0018064B" w:rsidRDefault="0018064B" w:rsidP="0018064B">
      <w:pPr>
        <w:ind w:firstLine="567"/>
        <w:jc w:val="both"/>
        <w:rPr>
          <w:rFonts w:ascii="Times New Roman" w:hAnsi="Times New Roman"/>
          <w:sz w:val="28"/>
          <w:szCs w:val="28"/>
        </w:rPr>
      </w:pPr>
    </w:p>
    <w:p w:rsidR="00D8258E" w:rsidRDefault="00D8258E" w:rsidP="0018064B">
      <w:pPr>
        <w:ind w:firstLine="567"/>
        <w:jc w:val="both"/>
        <w:rPr>
          <w:rFonts w:ascii="Times New Roman" w:hAnsi="Times New Roman"/>
          <w:sz w:val="28"/>
          <w:szCs w:val="28"/>
        </w:rPr>
      </w:pPr>
    </w:p>
    <w:p w:rsidR="00D8258E" w:rsidRDefault="00D8258E" w:rsidP="0018064B">
      <w:pPr>
        <w:ind w:firstLine="567"/>
        <w:jc w:val="both"/>
        <w:rPr>
          <w:rFonts w:ascii="Times New Roman" w:hAnsi="Times New Roman"/>
          <w:sz w:val="28"/>
          <w:szCs w:val="28"/>
        </w:rPr>
      </w:pPr>
    </w:p>
    <w:p w:rsidR="00D8258E" w:rsidRDefault="00D8258E" w:rsidP="0018064B">
      <w:pPr>
        <w:ind w:firstLine="567"/>
        <w:jc w:val="both"/>
        <w:rPr>
          <w:rFonts w:ascii="Times New Roman" w:hAnsi="Times New Roman"/>
          <w:sz w:val="28"/>
          <w:szCs w:val="28"/>
        </w:rPr>
      </w:pPr>
    </w:p>
    <w:p w:rsidR="0018064B" w:rsidRDefault="0018064B" w:rsidP="0018064B">
      <w:pPr>
        <w:ind w:firstLine="567"/>
        <w:jc w:val="both"/>
        <w:rPr>
          <w:rFonts w:ascii="Times New Roman" w:hAnsi="Times New Roman"/>
          <w:sz w:val="28"/>
          <w:szCs w:val="28"/>
        </w:rPr>
      </w:pPr>
    </w:p>
    <w:p w:rsidR="004F09E9" w:rsidRDefault="004F09E9"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Default="00D8258E" w:rsidP="00D8258E">
      <w:pPr>
        <w:jc w:val="both"/>
        <w:rPr>
          <w:rFonts w:ascii="Times New Roman" w:hAnsi="Times New Roman"/>
          <w:sz w:val="28"/>
          <w:szCs w:val="28"/>
        </w:rPr>
      </w:pPr>
    </w:p>
    <w:p w:rsidR="00D8258E" w:rsidRPr="004A6737" w:rsidRDefault="00D8258E" w:rsidP="00D8258E">
      <w:pPr>
        <w:jc w:val="both"/>
        <w:rPr>
          <w:rFonts w:ascii="Times New Roman" w:hAnsi="Times New Roman"/>
          <w:sz w:val="28"/>
          <w:szCs w:val="28"/>
        </w:rPr>
      </w:pPr>
    </w:p>
    <w:tbl>
      <w:tblPr>
        <w:tblpPr w:leftFromText="180" w:rightFromText="180" w:vertAnchor="page" w:horzAnchor="margin" w:tblpY="571"/>
        <w:tblW w:w="9418" w:type="dxa"/>
        <w:tblLayout w:type="fixed"/>
        <w:tblCellMar>
          <w:top w:w="102" w:type="dxa"/>
          <w:left w:w="62" w:type="dxa"/>
          <w:bottom w:w="102" w:type="dxa"/>
          <w:right w:w="62" w:type="dxa"/>
        </w:tblCellMar>
        <w:tblLook w:val="0000"/>
      </w:tblPr>
      <w:tblGrid>
        <w:gridCol w:w="628"/>
        <w:gridCol w:w="5349"/>
        <w:gridCol w:w="594"/>
        <w:gridCol w:w="2847"/>
      </w:tblGrid>
      <w:tr w:rsidR="00AD7BD4" w:rsidRPr="0069513F" w:rsidTr="00AD7BD4">
        <w:trPr>
          <w:trHeight w:val="1451"/>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lastRenderedPageBreak/>
              <w:t>№</w:t>
            </w:r>
          </w:p>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 xml:space="preserve"> п/п</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Наименование целевых показателей реализации Комплексной программы</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Единица измерения</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367F28">
            <w:pPr>
              <w:autoSpaceDE w:val="0"/>
              <w:autoSpaceDN w:val="0"/>
              <w:adjustRightInd w:val="0"/>
              <w:rPr>
                <w:rFonts w:ascii="Times New Roman" w:hAnsi="Times New Roman"/>
                <w:sz w:val="24"/>
                <w:szCs w:val="24"/>
              </w:rPr>
            </w:pPr>
            <w:r w:rsidRPr="0069513F">
              <w:rPr>
                <w:rFonts w:ascii="Times New Roman" w:hAnsi="Times New Roman"/>
                <w:sz w:val="24"/>
                <w:szCs w:val="24"/>
              </w:rPr>
              <w:t>Фактические значения целевых показателей реализации Комплексной программы в 202</w:t>
            </w:r>
            <w:r w:rsidR="00367F28">
              <w:rPr>
                <w:rFonts w:ascii="Times New Roman" w:hAnsi="Times New Roman"/>
                <w:sz w:val="24"/>
                <w:szCs w:val="24"/>
              </w:rPr>
              <w:t>2</w:t>
            </w:r>
            <w:r w:rsidRPr="0069513F">
              <w:rPr>
                <w:rFonts w:ascii="Times New Roman" w:hAnsi="Times New Roman"/>
                <w:sz w:val="24"/>
                <w:szCs w:val="24"/>
              </w:rPr>
              <w:t xml:space="preserve"> году</w:t>
            </w:r>
          </w:p>
        </w:tc>
      </w:tr>
      <w:tr w:rsidR="00AD7BD4" w:rsidRPr="0069513F" w:rsidTr="00AD7BD4">
        <w:trPr>
          <w:trHeight w:val="1024"/>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1.</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органов и организаций, входящих в систему защиты прав потребителей, в муниципальном районе (городском округе) (с указанием наименования органов и организаций)</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F35082" w:rsidRDefault="0018064B" w:rsidP="00F35082">
            <w:pPr>
              <w:autoSpaceDE w:val="0"/>
              <w:autoSpaceDN w:val="0"/>
              <w:adjustRightInd w:val="0"/>
              <w:rPr>
                <w:rFonts w:ascii="Times New Roman" w:hAnsi="Times New Roman"/>
                <w:sz w:val="24"/>
                <w:szCs w:val="24"/>
              </w:rPr>
            </w:pPr>
            <w:r w:rsidRPr="0069513F">
              <w:rPr>
                <w:rFonts w:ascii="Times New Roman" w:hAnsi="Times New Roman"/>
                <w:sz w:val="24"/>
                <w:szCs w:val="24"/>
              </w:rPr>
              <w:t>12</w:t>
            </w:r>
            <w:r w:rsidR="00F35082">
              <w:rPr>
                <w:rFonts w:ascii="Times New Roman" w:hAnsi="Times New Roman"/>
                <w:sz w:val="24"/>
                <w:szCs w:val="24"/>
              </w:rPr>
              <w:t xml:space="preserve">1. Администрация Калининского муниципального района (отдел экономики и потребительского рынка, управление жилищно – коммунального хозяйства), </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2. Администрация Ахтубинского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3. Администрация Казачкинского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4. Администрация Колокольцовского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5. Администрация Малоекатериновского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6. Администрация Озерского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7. Администрация Свердловского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8. Администрация Сергиевского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9. Администрация Симоновского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10. Администрация Таловского МО</w:t>
            </w:r>
          </w:p>
          <w:p w:rsidR="00F35082"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11. Администрация Широкоуступского МО</w:t>
            </w:r>
          </w:p>
          <w:p w:rsidR="0018064B" w:rsidRPr="0069513F" w:rsidRDefault="00F35082" w:rsidP="00F35082">
            <w:pPr>
              <w:autoSpaceDE w:val="0"/>
              <w:autoSpaceDN w:val="0"/>
              <w:adjustRightInd w:val="0"/>
              <w:rPr>
                <w:rFonts w:ascii="Times New Roman" w:hAnsi="Times New Roman"/>
                <w:sz w:val="24"/>
                <w:szCs w:val="24"/>
              </w:rPr>
            </w:pPr>
            <w:r>
              <w:rPr>
                <w:rFonts w:ascii="Times New Roman" w:hAnsi="Times New Roman"/>
                <w:sz w:val="24"/>
                <w:szCs w:val="24"/>
              </w:rPr>
              <w:t>12. Северо-Западный ТО Управления Роспотребнадзора по Саратовской области (Аткарский район)</w:t>
            </w:r>
          </w:p>
          <w:p w:rsidR="0018064B" w:rsidRPr="0069513F" w:rsidRDefault="0018064B" w:rsidP="00C51050">
            <w:pPr>
              <w:autoSpaceDE w:val="0"/>
              <w:autoSpaceDN w:val="0"/>
              <w:adjustRightInd w:val="0"/>
              <w:rPr>
                <w:rFonts w:ascii="Times New Roman" w:hAnsi="Times New Roman"/>
                <w:sz w:val="24"/>
                <w:szCs w:val="24"/>
              </w:rPr>
            </w:pPr>
          </w:p>
        </w:tc>
      </w:tr>
      <w:tr w:rsidR="00AD7BD4" w:rsidRPr="0069513F" w:rsidTr="00AD7BD4">
        <w:trPr>
          <w:trHeight w:val="1749"/>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2.</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оказанных бесплатных консультационных услуг в сфере защиты прав потребителей</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Pr>
                <w:rFonts w:ascii="Times New Roman" w:hAnsi="Times New Roman"/>
                <w:sz w:val="24"/>
                <w:szCs w:val="24"/>
              </w:rPr>
              <w:t>5</w:t>
            </w:r>
            <w:r w:rsidR="00367F28">
              <w:rPr>
                <w:rFonts w:ascii="Times New Roman" w:hAnsi="Times New Roman"/>
                <w:sz w:val="24"/>
                <w:szCs w:val="24"/>
              </w:rPr>
              <w:t>4</w:t>
            </w:r>
          </w:p>
          <w:p w:rsidR="0018064B" w:rsidRPr="0069513F" w:rsidRDefault="0018064B" w:rsidP="00367F28">
            <w:pPr>
              <w:autoSpaceDE w:val="0"/>
              <w:autoSpaceDN w:val="0"/>
              <w:adjustRightInd w:val="0"/>
              <w:rPr>
                <w:rFonts w:ascii="Times New Roman" w:hAnsi="Times New Roman"/>
                <w:sz w:val="24"/>
                <w:szCs w:val="24"/>
              </w:rPr>
            </w:pPr>
            <w:r w:rsidRPr="0069513F">
              <w:rPr>
                <w:rFonts w:ascii="Times New Roman" w:hAnsi="Times New Roman"/>
                <w:sz w:val="24"/>
                <w:szCs w:val="24"/>
              </w:rPr>
              <w:t xml:space="preserve">(Администрация Калининского МР – </w:t>
            </w:r>
            <w:r w:rsidR="00367F28">
              <w:rPr>
                <w:rFonts w:ascii="Times New Roman" w:hAnsi="Times New Roman"/>
                <w:sz w:val="24"/>
                <w:szCs w:val="24"/>
              </w:rPr>
              <w:t>12</w:t>
            </w:r>
            <w:r w:rsidRPr="0069513F">
              <w:rPr>
                <w:rFonts w:ascii="Times New Roman" w:hAnsi="Times New Roman"/>
                <w:sz w:val="24"/>
                <w:szCs w:val="24"/>
              </w:rPr>
              <w:t xml:space="preserve">, </w:t>
            </w:r>
            <w:r>
              <w:rPr>
                <w:rFonts w:ascii="Times New Roman" w:hAnsi="Times New Roman"/>
                <w:sz w:val="24"/>
                <w:szCs w:val="24"/>
              </w:rPr>
              <w:t xml:space="preserve"> </w:t>
            </w:r>
            <w:r w:rsidRPr="0069513F">
              <w:rPr>
                <w:rFonts w:ascii="Times New Roman" w:hAnsi="Times New Roman"/>
                <w:sz w:val="24"/>
                <w:szCs w:val="24"/>
              </w:rPr>
              <w:t xml:space="preserve">Северо – Западный ТО Управления Роспотребнадзора – </w:t>
            </w:r>
            <w:r>
              <w:rPr>
                <w:rFonts w:ascii="Times New Roman" w:hAnsi="Times New Roman"/>
                <w:sz w:val="24"/>
                <w:szCs w:val="24"/>
              </w:rPr>
              <w:t>42</w:t>
            </w:r>
            <w:r w:rsidRPr="0069513F">
              <w:rPr>
                <w:rFonts w:ascii="Times New Roman" w:hAnsi="Times New Roman"/>
                <w:sz w:val="24"/>
                <w:szCs w:val="24"/>
              </w:rPr>
              <w:t>)</w:t>
            </w:r>
          </w:p>
        </w:tc>
      </w:tr>
      <w:tr w:rsidR="00AD7BD4" w:rsidRPr="0069513F" w:rsidTr="00AD7BD4">
        <w:trPr>
          <w:trHeight w:val="1084"/>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lastRenderedPageBreak/>
              <w:t>3.</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367F28">
            <w:pPr>
              <w:autoSpaceDE w:val="0"/>
              <w:autoSpaceDN w:val="0"/>
              <w:adjustRightInd w:val="0"/>
              <w:rPr>
                <w:rFonts w:ascii="Times New Roman" w:hAnsi="Times New Roman"/>
                <w:sz w:val="24"/>
                <w:szCs w:val="24"/>
              </w:rPr>
            </w:pPr>
            <w:r>
              <w:rPr>
                <w:rFonts w:ascii="Times New Roman" w:hAnsi="Times New Roman"/>
                <w:sz w:val="24"/>
                <w:szCs w:val="24"/>
              </w:rPr>
              <w:t>10</w:t>
            </w:r>
            <w:r w:rsidR="00367F28">
              <w:rPr>
                <w:rFonts w:ascii="Times New Roman" w:hAnsi="Times New Roman"/>
                <w:sz w:val="24"/>
                <w:szCs w:val="24"/>
              </w:rPr>
              <w:t>8</w:t>
            </w:r>
          </w:p>
        </w:tc>
      </w:tr>
      <w:tr w:rsidR="00AD7BD4" w:rsidRPr="0069513F" w:rsidTr="00AD7BD4">
        <w:trPr>
          <w:trHeight w:val="891"/>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4.</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публикаций и сообщений в средствах массовой информации, направленных на повышение потребительской грамотности</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Pr>
                <w:rFonts w:ascii="Times New Roman" w:hAnsi="Times New Roman"/>
                <w:sz w:val="24"/>
                <w:szCs w:val="24"/>
              </w:rPr>
              <w:t>18</w:t>
            </w:r>
            <w:r w:rsidRPr="0069513F">
              <w:rPr>
                <w:rFonts w:ascii="Times New Roman" w:hAnsi="Times New Roman"/>
                <w:sz w:val="24"/>
                <w:szCs w:val="24"/>
              </w:rPr>
              <w:t xml:space="preserve"> </w:t>
            </w:r>
          </w:p>
        </w:tc>
      </w:tr>
      <w:tr w:rsidR="00AD7BD4" w:rsidRPr="0069513F" w:rsidTr="00AD7BD4">
        <w:trPr>
          <w:trHeight w:val="1126"/>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5.</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единиц</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367F28">
            <w:pPr>
              <w:autoSpaceDE w:val="0"/>
              <w:autoSpaceDN w:val="0"/>
              <w:adjustRightInd w:val="0"/>
              <w:rPr>
                <w:rFonts w:ascii="Times New Roman" w:hAnsi="Times New Roman"/>
                <w:sz w:val="24"/>
                <w:szCs w:val="24"/>
              </w:rPr>
            </w:pPr>
            <w:r>
              <w:rPr>
                <w:rFonts w:ascii="Times New Roman" w:hAnsi="Times New Roman"/>
                <w:sz w:val="24"/>
                <w:szCs w:val="24"/>
              </w:rPr>
              <w:t>1</w:t>
            </w:r>
            <w:r w:rsidR="00367F28">
              <w:rPr>
                <w:rFonts w:ascii="Times New Roman" w:hAnsi="Times New Roman"/>
                <w:sz w:val="24"/>
                <w:szCs w:val="24"/>
              </w:rPr>
              <w:t>678</w:t>
            </w:r>
          </w:p>
        </w:tc>
      </w:tr>
      <w:tr w:rsidR="00AD7BD4" w:rsidRPr="0069513F" w:rsidTr="00AD7BD4">
        <w:trPr>
          <w:trHeight w:val="1756"/>
        </w:trPr>
        <w:tc>
          <w:tcPr>
            <w:tcW w:w="628"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6.</w:t>
            </w:r>
          </w:p>
        </w:tc>
        <w:tc>
          <w:tcPr>
            <w:tcW w:w="5349"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jc w:val="both"/>
              <w:rPr>
                <w:rFonts w:ascii="Times New Roman" w:hAnsi="Times New Roman"/>
                <w:sz w:val="24"/>
                <w:szCs w:val="24"/>
              </w:rPr>
            </w:pPr>
            <w:r w:rsidRPr="0069513F">
              <w:rPr>
                <w:rFonts w:ascii="Times New Roman" w:hAnsi="Times New Roman"/>
                <w:sz w:val="24"/>
                <w:szCs w:val="24"/>
              </w:rPr>
              <w:t>Удельный вес продукции, реализуемой на территории Саратовской области, не соответствующей требованиям качества и безопасности по результатам лабораторных исследований (от общего количества исследованной продукции)</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процентов</w:t>
            </w:r>
          </w:p>
        </w:tc>
        <w:tc>
          <w:tcPr>
            <w:tcW w:w="2847" w:type="dxa"/>
            <w:tcBorders>
              <w:top w:val="single" w:sz="4" w:space="0" w:color="auto"/>
              <w:left w:val="single" w:sz="4" w:space="0" w:color="auto"/>
              <w:bottom w:val="single" w:sz="4" w:space="0" w:color="auto"/>
              <w:right w:val="single" w:sz="4" w:space="0" w:color="auto"/>
            </w:tcBorders>
            <w:shd w:val="clear" w:color="auto" w:fill="auto"/>
          </w:tcPr>
          <w:p w:rsidR="0018064B" w:rsidRPr="0069513F" w:rsidRDefault="0018064B" w:rsidP="00C51050">
            <w:pPr>
              <w:autoSpaceDE w:val="0"/>
              <w:autoSpaceDN w:val="0"/>
              <w:adjustRightInd w:val="0"/>
              <w:rPr>
                <w:rFonts w:ascii="Times New Roman" w:hAnsi="Times New Roman"/>
                <w:sz w:val="24"/>
                <w:szCs w:val="24"/>
              </w:rPr>
            </w:pPr>
            <w:r w:rsidRPr="0069513F">
              <w:rPr>
                <w:rFonts w:ascii="Times New Roman" w:hAnsi="Times New Roman"/>
                <w:sz w:val="24"/>
                <w:szCs w:val="24"/>
              </w:rPr>
              <w:t>0</w:t>
            </w:r>
          </w:p>
          <w:p w:rsidR="0018064B" w:rsidRPr="0069513F" w:rsidRDefault="0018064B" w:rsidP="00C51050">
            <w:pPr>
              <w:autoSpaceDE w:val="0"/>
              <w:autoSpaceDN w:val="0"/>
              <w:adjustRightInd w:val="0"/>
              <w:rPr>
                <w:rFonts w:ascii="Times New Roman" w:hAnsi="Times New Roman"/>
                <w:sz w:val="24"/>
                <w:szCs w:val="24"/>
              </w:rPr>
            </w:pPr>
          </w:p>
        </w:tc>
      </w:tr>
    </w:tbl>
    <w:p w:rsidR="00213D70" w:rsidRDefault="00213D70" w:rsidP="00213D70">
      <w:pPr>
        <w:ind w:firstLine="567"/>
        <w:jc w:val="both"/>
        <w:rPr>
          <w:rFonts w:ascii="Times New Roman" w:hAnsi="Times New Roman"/>
          <w:sz w:val="28"/>
          <w:szCs w:val="28"/>
        </w:rPr>
      </w:pPr>
    </w:p>
    <w:sectPr w:rsidR="00213D70" w:rsidSect="00AD7BD4">
      <w:pgSz w:w="11906" w:h="16838"/>
      <w:pgMar w:top="1418"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568" w:rsidRDefault="00E01568" w:rsidP="00D8258E">
      <w:r>
        <w:separator/>
      </w:r>
    </w:p>
  </w:endnote>
  <w:endnote w:type="continuationSeparator" w:id="1">
    <w:p w:rsidR="00E01568" w:rsidRDefault="00E01568" w:rsidP="00D82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568" w:rsidRDefault="00E01568" w:rsidP="00D8258E">
      <w:r>
        <w:separator/>
      </w:r>
    </w:p>
  </w:footnote>
  <w:footnote w:type="continuationSeparator" w:id="1">
    <w:p w:rsidR="00E01568" w:rsidRDefault="00E01568" w:rsidP="00D82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2C42"/>
    <w:multiLevelType w:val="hybridMultilevel"/>
    <w:tmpl w:val="251CE7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310B"/>
    <w:rsid w:val="00002CEA"/>
    <w:rsid w:val="00003033"/>
    <w:rsid w:val="00011217"/>
    <w:rsid w:val="00011B24"/>
    <w:rsid w:val="00012B2F"/>
    <w:rsid w:val="00014956"/>
    <w:rsid w:val="00016379"/>
    <w:rsid w:val="0002370B"/>
    <w:rsid w:val="00026455"/>
    <w:rsid w:val="00033837"/>
    <w:rsid w:val="000338E4"/>
    <w:rsid w:val="00035BCF"/>
    <w:rsid w:val="00037706"/>
    <w:rsid w:val="0004710E"/>
    <w:rsid w:val="00047403"/>
    <w:rsid w:val="00051CC2"/>
    <w:rsid w:val="00052758"/>
    <w:rsid w:val="000542C5"/>
    <w:rsid w:val="00067254"/>
    <w:rsid w:val="000715D1"/>
    <w:rsid w:val="000770F5"/>
    <w:rsid w:val="000842F3"/>
    <w:rsid w:val="00084E1A"/>
    <w:rsid w:val="0009225A"/>
    <w:rsid w:val="00097856"/>
    <w:rsid w:val="000A2199"/>
    <w:rsid w:val="000B40BA"/>
    <w:rsid w:val="000B4A4A"/>
    <w:rsid w:val="000C6009"/>
    <w:rsid w:val="000D2641"/>
    <w:rsid w:val="000D7912"/>
    <w:rsid w:val="000E1C65"/>
    <w:rsid w:val="000E2F5B"/>
    <w:rsid w:val="000E3A16"/>
    <w:rsid w:val="000E72D4"/>
    <w:rsid w:val="000F4781"/>
    <w:rsid w:val="000F59AC"/>
    <w:rsid w:val="00101805"/>
    <w:rsid w:val="001021A5"/>
    <w:rsid w:val="00102AC2"/>
    <w:rsid w:val="001039A8"/>
    <w:rsid w:val="001068FF"/>
    <w:rsid w:val="00107BD1"/>
    <w:rsid w:val="00111A47"/>
    <w:rsid w:val="00115F53"/>
    <w:rsid w:val="00116943"/>
    <w:rsid w:val="001175A0"/>
    <w:rsid w:val="00117993"/>
    <w:rsid w:val="00117DE5"/>
    <w:rsid w:val="00120509"/>
    <w:rsid w:val="00120EB8"/>
    <w:rsid w:val="001213C9"/>
    <w:rsid w:val="00121833"/>
    <w:rsid w:val="00123A51"/>
    <w:rsid w:val="00124A7F"/>
    <w:rsid w:val="00125EA2"/>
    <w:rsid w:val="0012797C"/>
    <w:rsid w:val="001279C5"/>
    <w:rsid w:val="00132545"/>
    <w:rsid w:val="00143234"/>
    <w:rsid w:val="00143901"/>
    <w:rsid w:val="00145C30"/>
    <w:rsid w:val="00147C4D"/>
    <w:rsid w:val="00147F66"/>
    <w:rsid w:val="00157542"/>
    <w:rsid w:val="00157876"/>
    <w:rsid w:val="00157AB4"/>
    <w:rsid w:val="00160AAF"/>
    <w:rsid w:val="0016659F"/>
    <w:rsid w:val="001733CE"/>
    <w:rsid w:val="00173DEF"/>
    <w:rsid w:val="00174541"/>
    <w:rsid w:val="0018064B"/>
    <w:rsid w:val="00180957"/>
    <w:rsid w:val="00180D2C"/>
    <w:rsid w:val="00185125"/>
    <w:rsid w:val="00191509"/>
    <w:rsid w:val="001A3FCC"/>
    <w:rsid w:val="001A4A3E"/>
    <w:rsid w:val="001B2FC0"/>
    <w:rsid w:val="001B7EAF"/>
    <w:rsid w:val="001C5617"/>
    <w:rsid w:val="001D156A"/>
    <w:rsid w:val="001D7F9A"/>
    <w:rsid w:val="001E5B9A"/>
    <w:rsid w:val="001E5F4D"/>
    <w:rsid w:val="001F06E1"/>
    <w:rsid w:val="001F6E9F"/>
    <w:rsid w:val="00200406"/>
    <w:rsid w:val="00202FFB"/>
    <w:rsid w:val="002122F2"/>
    <w:rsid w:val="00212F12"/>
    <w:rsid w:val="00212F1A"/>
    <w:rsid w:val="00213D70"/>
    <w:rsid w:val="00214235"/>
    <w:rsid w:val="00216D90"/>
    <w:rsid w:val="00222781"/>
    <w:rsid w:val="002250C0"/>
    <w:rsid w:val="002279E1"/>
    <w:rsid w:val="002329F4"/>
    <w:rsid w:val="00243B4F"/>
    <w:rsid w:val="00246349"/>
    <w:rsid w:val="00246411"/>
    <w:rsid w:val="002539A6"/>
    <w:rsid w:val="00255E87"/>
    <w:rsid w:val="00262509"/>
    <w:rsid w:val="00265593"/>
    <w:rsid w:val="00270483"/>
    <w:rsid w:val="00272B88"/>
    <w:rsid w:val="00272CF1"/>
    <w:rsid w:val="00273980"/>
    <w:rsid w:val="0028119C"/>
    <w:rsid w:val="00290A9C"/>
    <w:rsid w:val="00294B00"/>
    <w:rsid w:val="00295B17"/>
    <w:rsid w:val="002A16E8"/>
    <w:rsid w:val="002A3E14"/>
    <w:rsid w:val="002A459C"/>
    <w:rsid w:val="002A7C4C"/>
    <w:rsid w:val="002B1CD8"/>
    <w:rsid w:val="002B4DB6"/>
    <w:rsid w:val="002C40F6"/>
    <w:rsid w:val="002D0911"/>
    <w:rsid w:val="002D280B"/>
    <w:rsid w:val="002D7770"/>
    <w:rsid w:val="002E2712"/>
    <w:rsid w:val="002E476B"/>
    <w:rsid w:val="00303EB5"/>
    <w:rsid w:val="0030409C"/>
    <w:rsid w:val="00304A57"/>
    <w:rsid w:val="003079F1"/>
    <w:rsid w:val="00307F2D"/>
    <w:rsid w:val="0031354F"/>
    <w:rsid w:val="00315FDF"/>
    <w:rsid w:val="00316549"/>
    <w:rsid w:val="00316781"/>
    <w:rsid w:val="0032039D"/>
    <w:rsid w:val="00324C80"/>
    <w:rsid w:val="0032579D"/>
    <w:rsid w:val="00336B8D"/>
    <w:rsid w:val="003439E1"/>
    <w:rsid w:val="003465E6"/>
    <w:rsid w:val="00352749"/>
    <w:rsid w:val="00352F18"/>
    <w:rsid w:val="00355F80"/>
    <w:rsid w:val="003571FC"/>
    <w:rsid w:val="003638E9"/>
    <w:rsid w:val="00367F28"/>
    <w:rsid w:val="00370A55"/>
    <w:rsid w:val="00377571"/>
    <w:rsid w:val="00394075"/>
    <w:rsid w:val="003979F5"/>
    <w:rsid w:val="003A0015"/>
    <w:rsid w:val="003A2595"/>
    <w:rsid w:val="003A4B62"/>
    <w:rsid w:val="003A6CFD"/>
    <w:rsid w:val="003B56F6"/>
    <w:rsid w:val="003C1B1C"/>
    <w:rsid w:val="003D451E"/>
    <w:rsid w:val="003D6C87"/>
    <w:rsid w:val="003E10D1"/>
    <w:rsid w:val="003E30D9"/>
    <w:rsid w:val="003F0EFE"/>
    <w:rsid w:val="003F52A8"/>
    <w:rsid w:val="00407726"/>
    <w:rsid w:val="00411715"/>
    <w:rsid w:val="004128E6"/>
    <w:rsid w:val="00414968"/>
    <w:rsid w:val="004165DA"/>
    <w:rsid w:val="00426091"/>
    <w:rsid w:val="00430F0C"/>
    <w:rsid w:val="004337CE"/>
    <w:rsid w:val="004372FB"/>
    <w:rsid w:val="00454CFF"/>
    <w:rsid w:val="004643E9"/>
    <w:rsid w:val="0046533B"/>
    <w:rsid w:val="0047041E"/>
    <w:rsid w:val="004750A6"/>
    <w:rsid w:val="00477274"/>
    <w:rsid w:val="004803DC"/>
    <w:rsid w:val="00482E2E"/>
    <w:rsid w:val="00484A05"/>
    <w:rsid w:val="004858E4"/>
    <w:rsid w:val="00486DB8"/>
    <w:rsid w:val="0049565F"/>
    <w:rsid w:val="0049722A"/>
    <w:rsid w:val="004A6737"/>
    <w:rsid w:val="004B6D30"/>
    <w:rsid w:val="004C366F"/>
    <w:rsid w:val="004C3A8B"/>
    <w:rsid w:val="004C6F74"/>
    <w:rsid w:val="004D1572"/>
    <w:rsid w:val="004D7A7C"/>
    <w:rsid w:val="004E46DA"/>
    <w:rsid w:val="004E4908"/>
    <w:rsid w:val="004E58E8"/>
    <w:rsid w:val="004E71C2"/>
    <w:rsid w:val="004F09E9"/>
    <w:rsid w:val="004F654B"/>
    <w:rsid w:val="0050310B"/>
    <w:rsid w:val="00503D86"/>
    <w:rsid w:val="0050687C"/>
    <w:rsid w:val="00507A73"/>
    <w:rsid w:val="005107C7"/>
    <w:rsid w:val="00512239"/>
    <w:rsid w:val="00514B7B"/>
    <w:rsid w:val="005207C1"/>
    <w:rsid w:val="00523D6F"/>
    <w:rsid w:val="005305A4"/>
    <w:rsid w:val="00533173"/>
    <w:rsid w:val="00535215"/>
    <w:rsid w:val="00543388"/>
    <w:rsid w:val="005434F5"/>
    <w:rsid w:val="005457CB"/>
    <w:rsid w:val="005463E2"/>
    <w:rsid w:val="00547CE7"/>
    <w:rsid w:val="005557B4"/>
    <w:rsid w:val="00556D2E"/>
    <w:rsid w:val="00561003"/>
    <w:rsid w:val="0056537B"/>
    <w:rsid w:val="005657BD"/>
    <w:rsid w:val="005730EC"/>
    <w:rsid w:val="0058359C"/>
    <w:rsid w:val="005841CE"/>
    <w:rsid w:val="00586820"/>
    <w:rsid w:val="005919F6"/>
    <w:rsid w:val="00593E89"/>
    <w:rsid w:val="0059733E"/>
    <w:rsid w:val="00597BFB"/>
    <w:rsid w:val="005A2178"/>
    <w:rsid w:val="005A2EF9"/>
    <w:rsid w:val="005B3B49"/>
    <w:rsid w:val="005B6621"/>
    <w:rsid w:val="005B73DF"/>
    <w:rsid w:val="005B7E46"/>
    <w:rsid w:val="005C0931"/>
    <w:rsid w:val="005C3F11"/>
    <w:rsid w:val="005C52E4"/>
    <w:rsid w:val="005D1320"/>
    <w:rsid w:val="005D2B6B"/>
    <w:rsid w:val="005D4E75"/>
    <w:rsid w:val="005D56CC"/>
    <w:rsid w:val="005D6D21"/>
    <w:rsid w:val="005D6F61"/>
    <w:rsid w:val="005E1A43"/>
    <w:rsid w:val="005E2182"/>
    <w:rsid w:val="005E3199"/>
    <w:rsid w:val="005E52A9"/>
    <w:rsid w:val="005F0030"/>
    <w:rsid w:val="005F2F3A"/>
    <w:rsid w:val="006057DE"/>
    <w:rsid w:val="00607D88"/>
    <w:rsid w:val="00614975"/>
    <w:rsid w:val="00617211"/>
    <w:rsid w:val="00617262"/>
    <w:rsid w:val="006218A8"/>
    <w:rsid w:val="006263E1"/>
    <w:rsid w:val="00640320"/>
    <w:rsid w:val="006470E5"/>
    <w:rsid w:val="006557C1"/>
    <w:rsid w:val="006637FB"/>
    <w:rsid w:val="00663ADC"/>
    <w:rsid w:val="0066404F"/>
    <w:rsid w:val="006658BE"/>
    <w:rsid w:val="006723C8"/>
    <w:rsid w:val="006734AA"/>
    <w:rsid w:val="006813E7"/>
    <w:rsid w:val="00684A83"/>
    <w:rsid w:val="00691DFD"/>
    <w:rsid w:val="006922DA"/>
    <w:rsid w:val="00693376"/>
    <w:rsid w:val="00697648"/>
    <w:rsid w:val="006A2058"/>
    <w:rsid w:val="006A6DE9"/>
    <w:rsid w:val="006A74AA"/>
    <w:rsid w:val="006B0AC2"/>
    <w:rsid w:val="006B2719"/>
    <w:rsid w:val="006B2FD6"/>
    <w:rsid w:val="006B4FA5"/>
    <w:rsid w:val="006B6DC6"/>
    <w:rsid w:val="006C7B99"/>
    <w:rsid w:val="006D6CAF"/>
    <w:rsid w:val="006D6ECF"/>
    <w:rsid w:val="006F1412"/>
    <w:rsid w:val="006F171F"/>
    <w:rsid w:val="006F652F"/>
    <w:rsid w:val="007142EC"/>
    <w:rsid w:val="0072055D"/>
    <w:rsid w:val="00725617"/>
    <w:rsid w:val="007368B7"/>
    <w:rsid w:val="0073733D"/>
    <w:rsid w:val="00740F10"/>
    <w:rsid w:val="007459AC"/>
    <w:rsid w:val="00745AEA"/>
    <w:rsid w:val="00746FA2"/>
    <w:rsid w:val="00747073"/>
    <w:rsid w:val="0075518E"/>
    <w:rsid w:val="00761FC2"/>
    <w:rsid w:val="00763430"/>
    <w:rsid w:val="00767BF8"/>
    <w:rsid w:val="007710D6"/>
    <w:rsid w:val="00772121"/>
    <w:rsid w:val="00775FF2"/>
    <w:rsid w:val="007804F0"/>
    <w:rsid w:val="00780937"/>
    <w:rsid w:val="00793102"/>
    <w:rsid w:val="00794025"/>
    <w:rsid w:val="0079575F"/>
    <w:rsid w:val="007A0D98"/>
    <w:rsid w:val="007A76A1"/>
    <w:rsid w:val="007D185F"/>
    <w:rsid w:val="007E2D33"/>
    <w:rsid w:val="007E3D41"/>
    <w:rsid w:val="007E55D3"/>
    <w:rsid w:val="007F6E7D"/>
    <w:rsid w:val="008012C3"/>
    <w:rsid w:val="00802D80"/>
    <w:rsid w:val="00807144"/>
    <w:rsid w:val="008130CD"/>
    <w:rsid w:val="008158F9"/>
    <w:rsid w:val="0082186A"/>
    <w:rsid w:val="00826F14"/>
    <w:rsid w:val="00827641"/>
    <w:rsid w:val="008325A0"/>
    <w:rsid w:val="00836F14"/>
    <w:rsid w:val="0084047A"/>
    <w:rsid w:val="008420F8"/>
    <w:rsid w:val="008425E1"/>
    <w:rsid w:val="00845383"/>
    <w:rsid w:val="008459B7"/>
    <w:rsid w:val="0085211F"/>
    <w:rsid w:val="00860902"/>
    <w:rsid w:val="00865866"/>
    <w:rsid w:val="008751C7"/>
    <w:rsid w:val="008804D2"/>
    <w:rsid w:val="00880E7F"/>
    <w:rsid w:val="0088134A"/>
    <w:rsid w:val="00884B23"/>
    <w:rsid w:val="00885364"/>
    <w:rsid w:val="008A1AC2"/>
    <w:rsid w:val="008A72BF"/>
    <w:rsid w:val="008A7570"/>
    <w:rsid w:val="008C6A21"/>
    <w:rsid w:val="008D33D2"/>
    <w:rsid w:val="008F0FB4"/>
    <w:rsid w:val="008F251D"/>
    <w:rsid w:val="00901CE9"/>
    <w:rsid w:val="00907D8A"/>
    <w:rsid w:val="0091719A"/>
    <w:rsid w:val="00925D20"/>
    <w:rsid w:val="00930463"/>
    <w:rsid w:val="009370A2"/>
    <w:rsid w:val="009446F7"/>
    <w:rsid w:val="00946E95"/>
    <w:rsid w:val="009471E6"/>
    <w:rsid w:val="0095464F"/>
    <w:rsid w:val="00965CE0"/>
    <w:rsid w:val="009778A9"/>
    <w:rsid w:val="00981678"/>
    <w:rsid w:val="00983C0A"/>
    <w:rsid w:val="009926D4"/>
    <w:rsid w:val="00992B71"/>
    <w:rsid w:val="00995B9A"/>
    <w:rsid w:val="0099604F"/>
    <w:rsid w:val="0099735D"/>
    <w:rsid w:val="009A13F4"/>
    <w:rsid w:val="009A4CED"/>
    <w:rsid w:val="009A62B9"/>
    <w:rsid w:val="009B14B2"/>
    <w:rsid w:val="009B2A45"/>
    <w:rsid w:val="009B3271"/>
    <w:rsid w:val="009B454C"/>
    <w:rsid w:val="009C1161"/>
    <w:rsid w:val="009C5E9A"/>
    <w:rsid w:val="009D0A10"/>
    <w:rsid w:val="009D1BCB"/>
    <w:rsid w:val="009D4300"/>
    <w:rsid w:val="009E44F8"/>
    <w:rsid w:val="009F040C"/>
    <w:rsid w:val="009F1809"/>
    <w:rsid w:val="009F1988"/>
    <w:rsid w:val="009F3163"/>
    <w:rsid w:val="00A0066D"/>
    <w:rsid w:val="00A00845"/>
    <w:rsid w:val="00A0593F"/>
    <w:rsid w:val="00A05C56"/>
    <w:rsid w:val="00A11209"/>
    <w:rsid w:val="00A1709A"/>
    <w:rsid w:val="00A179E1"/>
    <w:rsid w:val="00A229E2"/>
    <w:rsid w:val="00A308F9"/>
    <w:rsid w:val="00A35532"/>
    <w:rsid w:val="00A3739D"/>
    <w:rsid w:val="00A40205"/>
    <w:rsid w:val="00A4311E"/>
    <w:rsid w:val="00A43CBA"/>
    <w:rsid w:val="00A43DA2"/>
    <w:rsid w:val="00A455C2"/>
    <w:rsid w:val="00A561CC"/>
    <w:rsid w:val="00A62DBE"/>
    <w:rsid w:val="00A630CE"/>
    <w:rsid w:val="00A64056"/>
    <w:rsid w:val="00A6751F"/>
    <w:rsid w:val="00A7496D"/>
    <w:rsid w:val="00A75256"/>
    <w:rsid w:val="00A760DB"/>
    <w:rsid w:val="00A80380"/>
    <w:rsid w:val="00A8255B"/>
    <w:rsid w:val="00A86C38"/>
    <w:rsid w:val="00A948E7"/>
    <w:rsid w:val="00A950FE"/>
    <w:rsid w:val="00A9770A"/>
    <w:rsid w:val="00AA3A74"/>
    <w:rsid w:val="00AA439A"/>
    <w:rsid w:val="00AB2F9D"/>
    <w:rsid w:val="00AB338F"/>
    <w:rsid w:val="00AB3C10"/>
    <w:rsid w:val="00AB5695"/>
    <w:rsid w:val="00AB6885"/>
    <w:rsid w:val="00AC1898"/>
    <w:rsid w:val="00AD3F4B"/>
    <w:rsid w:val="00AD7BD4"/>
    <w:rsid w:val="00AF04A4"/>
    <w:rsid w:val="00AF0EBD"/>
    <w:rsid w:val="00B0050A"/>
    <w:rsid w:val="00B117BF"/>
    <w:rsid w:val="00B12655"/>
    <w:rsid w:val="00B20159"/>
    <w:rsid w:val="00B20578"/>
    <w:rsid w:val="00B20CCF"/>
    <w:rsid w:val="00B24B31"/>
    <w:rsid w:val="00B25364"/>
    <w:rsid w:val="00B326F7"/>
    <w:rsid w:val="00B335EF"/>
    <w:rsid w:val="00B367BF"/>
    <w:rsid w:val="00B50D01"/>
    <w:rsid w:val="00B52A63"/>
    <w:rsid w:val="00B57306"/>
    <w:rsid w:val="00B71146"/>
    <w:rsid w:val="00B80358"/>
    <w:rsid w:val="00B82B28"/>
    <w:rsid w:val="00B860D7"/>
    <w:rsid w:val="00B86FF2"/>
    <w:rsid w:val="00B90745"/>
    <w:rsid w:val="00BA0765"/>
    <w:rsid w:val="00BA2F48"/>
    <w:rsid w:val="00BA5348"/>
    <w:rsid w:val="00BB21E1"/>
    <w:rsid w:val="00BB2648"/>
    <w:rsid w:val="00BB6D70"/>
    <w:rsid w:val="00BC24D4"/>
    <w:rsid w:val="00BC30AE"/>
    <w:rsid w:val="00BC66D2"/>
    <w:rsid w:val="00BE61B8"/>
    <w:rsid w:val="00BE7315"/>
    <w:rsid w:val="00BF53F2"/>
    <w:rsid w:val="00C0102E"/>
    <w:rsid w:val="00C01EAB"/>
    <w:rsid w:val="00C04557"/>
    <w:rsid w:val="00C07CDB"/>
    <w:rsid w:val="00C11273"/>
    <w:rsid w:val="00C1151D"/>
    <w:rsid w:val="00C309BA"/>
    <w:rsid w:val="00C430A6"/>
    <w:rsid w:val="00C45685"/>
    <w:rsid w:val="00C5569E"/>
    <w:rsid w:val="00C563EF"/>
    <w:rsid w:val="00C617EE"/>
    <w:rsid w:val="00C636AD"/>
    <w:rsid w:val="00C7153D"/>
    <w:rsid w:val="00C8072F"/>
    <w:rsid w:val="00C8114B"/>
    <w:rsid w:val="00C90DF6"/>
    <w:rsid w:val="00C930A7"/>
    <w:rsid w:val="00C94591"/>
    <w:rsid w:val="00C9676E"/>
    <w:rsid w:val="00CA0ECF"/>
    <w:rsid w:val="00CA4398"/>
    <w:rsid w:val="00CA4A88"/>
    <w:rsid w:val="00CB0DBF"/>
    <w:rsid w:val="00CB2D4D"/>
    <w:rsid w:val="00CB55B0"/>
    <w:rsid w:val="00CB78BF"/>
    <w:rsid w:val="00CC2DEB"/>
    <w:rsid w:val="00CC59E3"/>
    <w:rsid w:val="00CC6576"/>
    <w:rsid w:val="00CD1690"/>
    <w:rsid w:val="00CE0436"/>
    <w:rsid w:val="00CE20AE"/>
    <w:rsid w:val="00CF4F3F"/>
    <w:rsid w:val="00D1136B"/>
    <w:rsid w:val="00D12C00"/>
    <w:rsid w:val="00D137A6"/>
    <w:rsid w:val="00D1576F"/>
    <w:rsid w:val="00D174B0"/>
    <w:rsid w:val="00D210D1"/>
    <w:rsid w:val="00D25B98"/>
    <w:rsid w:val="00D30B3E"/>
    <w:rsid w:val="00D30E15"/>
    <w:rsid w:val="00D46199"/>
    <w:rsid w:val="00D52252"/>
    <w:rsid w:val="00D60EAD"/>
    <w:rsid w:val="00D611F3"/>
    <w:rsid w:val="00D663B7"/>
    <w:rsid w:val="00D67EAB"/>
    <w:rsid w:val="00D71935"/>
    <w:rsid w:val="00D80921"/>
    <w:rsid w:val="00D8258E"/>
    <w:rsid w:val="00D95204"/>
    <w:rsid w:val="00D96C44"/>
    <w:rsid w:val="00D975EE"/>
    <w:rsid w:val="00DC6DCA"/>
    <w:rsid w:val="00DD08BA"/>
    <w:rsid w:val="00DD437D"/>
    <w:rsid w:val="00DD5862"/>
    <w:rsid w:val="00DF23C3"/>
    <w:rsid w:val="00DF273C"/>
    <w:rsid w:val="00DF34D0"/>
    <w:rsid w:val="00E01568"/>
    <w:rsid w:val="00E10AE9"/>
    <w:rsid w:val="00E11C5B"/>
    <w:rsid w:val="00E131BF"/>
    <w:rsid w:val="00E15602"/>
    <w:rsid w:val="00E1766B"/>
    <w:rsid w:val="00E217D8"/>
    <w:rsid w:val="00E36204"/>
    <w:rsid w:val="00E37BB4"/>
    <w:rsid w:val="00E45C25"/>
    <w:rsid w:val="00E5421D"/>
    <w:rsid w:val="00E57303"/>
    <w:rsid w:val="00E63B28"/>
    <w:rsid w:val="00E67419"/>
    <w:rsid w:val="00E72DF3"/>
    <w:rsid w:val="00E76EF1"/>
    <w:rsid w:val="00E80919"/>
    <w:rsid w:val="00E864C9"/>
    <w:rsid w:val="00E94222"/>
    <w:rsid w:val="00EA1149"/>
    <w:rsid w:val="00EA3827"/>
    <w:rsid w:val="00EA5A31"/>
    <w:rsid w:val="00EA652A"/>
    <w:rsid w:val="00EA74E7"/>
    <w:rsid w:val="00EB0873"/>
    <w:rsid w:val="00EB628A"/>
    <w:rsid w:val="00EB7F19"/>
    <w:rsid w:val="00EC2100"/>
    <w:rsid w:val="00ED418A"/>
    <w:rsid w:val="00ED7A55"/>
    <w:rsid w:val="00EE5563"/>
    <w:rsid w:val="00EF0EEE"/>
    <w:rsid w:val="00EF3FE6"/>
    <w:rsid w:val="00EF40D7"/>
    <w:rsid w:val="00F0772C"/>
    <w:rsid w:val="00F157F6"/>
    <w:rsid w:val="00F15A16"/>
    <w:rsid w:val="00F1665A"/>
    <w:rsid w:val="00F2561F"/>
    <w:rsid w:val="00F275A4"/>
    <w:rsid w:val="00F3375E"/>
    <w:rsid w:val="00F33817"/>
    <w:rsid w:val="00F35082"/>
    <w:rsid w:val="00F351F8"/>
    <w:rsid w:val="00F43EB3"/>
    <w:rsid w:val="00F43EC6"/>
    <w:rsid w:val="00F65DF3"/>
    <w:rsid w:val="00F67CBD"/>
    <w:rsid w:val="00F72451"/>
    <w:rsid w:val="00F74714"/>
    <w:rsid w:val="00F75C13"/>
    <w:rsid w:val="00F82ADC"/>
    <w:rsid w:val="00F85284"/>
    <w:rsid w:val="00F91848"/>
    <w:rsid w:val="00F94C19"/>
    <w:rsid w:val="00F95353"/>
    <w:rsid w:val="00F95999"/>
    <w:rsid w:val="00FB01F7"/>
    <w:rsid w:val="00FB54A9"/>
    <w:rsid w:val="00FB7640"/>
    <w:rsid w:val="00FC0063"/>
    <w:rsid w:val="00FC6551"/>
    <w:rsid w:val="00FD4C60"/>
    <w:rsid w:val="00FF3B7C"/>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93"/>
    <w:pPr>
      <w:jc w:val="center"/>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865866"/>
    <w:pPr>
      <w:spacing w:before="84" w:after="84"/>
      <w:jc w:val="left"/>
    </w:pPr>
    <w:rPr>
      <w:rFonts w:ascii="Arial" w:eastAsia="Times New Roman" w:hAnsi="Arial" w:cs="Arial"/>
      <w:color w:val="000000"/>
      <w:sz w:val="20"/>
      <w:szCs w:val="20"/>
      <w:lang w:eastAsia="ru-RU"/>
    </w:rPr>
  </w:style>
  <w:style w:type="paragraph" w:customStyle="1" w:styleId="ConsPlusTitle">
    <w:name w:val="ConsPlusTitle"/>
    <w:rsid w:val="00426091"/>
    <w:pPr>
      <w:widowControl w:val="0"/>
      <w:autoSpaceDE w:val="0"/>
      <w:autoSpaceDN w:val="0"/>
      <w:adjustRightInd w:val="0"/>
    </w:pPr>
    <w:rPr>
      <w:rFonts w:ascii="Times New Roman" w:eastAsia="Times New Roman" w:hAnsi="Times New Roman"/>
      <w:b/>
      <w:bCs/>
      <w:sz w:val="24"/>
      <w:szCs w:val="24"/>
      <w:lang w:bidi="ar-SA"/>
    </w:rPr>
  </w:style>
  <w:style w:type="character" w:styleId="a5">
    <w:name w:val="Hyperlink"/>
    <w:unhideWhenUsed/>
    <w:rsid w:val="00426091"/>
    <w:rPr>
      <w:rFonts w:ascii="Arial" w:hAnsi="Arial" w:cs="Arial" w:hint="default"/>
      <w:strike w:val="0"/>
      <w:dstrike w:val="0"/>
      <w:color w:val="3560A7"/>
      <w:sz w:val="20"/>
      <w:szCs w:val="20"/>
      <w:u w:val="none"/>
      <w:effect w:val="none"/>
    </w:rPr>
  </w:style>
  <w:style w:type="paragraph" w:customStyle="1" w:styleId="formattext">
    <w:name w:val="formattext"/>
    <w:basedOn w:val="a"/>
    <w:rsid w:val="00426091"/>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link w:val="ConsPlusNormal0"/>
    <w:rsid w:val="00426091"/>
    <w:pPr>
      <w:widowControl w:val="0"/>
      <w:autoSpaceDE w:val="0"/>
      <w:autoSpaceDN w:val="0"/>
      <w:adjustRightInd w:val="0"/>
      <w:ind w:firstLine="720"/>
    </w:pPr>
    <w:rPr>
      <w:rFonts w:ascii="Arial" w:eastAsia="Times New Roman" w:hAnsi="Arial" w:cs="Arial"/>
      <w:lang w:bidi="ar-SA"/>
    </w:rPr>
  </w:style>
  <w:style w:type="paragraph" w:customStyle="1" w:styleId="ConsNormal">
    <w:name w:val="ConsNormal"/>
    <w:rsid w:val="00426091"/>
    <w:pPr>
      <w:autoSpaceDE w:val="0"/>
      <w:autoSpaceDN w:val="0"/>
      <w:adjustRightInd w:val="0"/>
      <w:ind w:firstLine="720"/>
    </w:pPr>
    <w:rPr>
      <w:rFonts w:ascii="Arial" w:eastAsia="Times New Roman" w:hAnsi="Arial" w:cs="Arial"/>
      <w:sz w:val="28"/>
      <w:szCs w:val="28"/>
      <w:lang w:bidi="ar-SA"/>
    </w:rPr>
  </w:style>
  <w:style w:type="character" w:customStyle="1" w:styleId="apple-converted-space">
    <w:name w:val="apple-converted-space"/>
    <w:basedOn w:val="a0"/>
    <w:rsid w:val="00E15602"/>
  </w:style>
  <w:style w:type="character" w:customStyle="1" w:styleId="ConsPlusNormal0">
    <w:name w:val="ConsPlusNormal Знак"/>
    <w:basedOn w:val="a0"/>
    <w:link w:val="ConsPlusNormal"/>
    <w:locked/>
    <w:rsid w:val="00272CF1"/>
    <w:rPr>
      <w:rFonts w:ascii="Arial" w:eastAsia="Times New Roman" w:hAnsi="Arial" w:cs="Arial"/>
      <w:lang w:val="ru-RU" w:eastAsia="ru-RU" w:bidi="ar-SA"/>
    </w:rPr>
  </w:style>
  <w:style w:type="paragraph" w:styleId="a6">
    <w:name w:val="header"/>
    <w:basedOn w:val="a"/>
    <w:link w:val="a7"/>
    <w:uiPriority w:val="99"/>
    <w:semiHidden/>
    <w:unhideWhenUsed/>
    <w:rsid w:val="00D8258E"/>
    <w:pPr>
      <w:tabs>
        <w:tab w:val="center" w:pos="4677"/>
        <w:tab w:val="right" w:pos="9355"/>
      </w:tabs>
    </w:pPr>
  </w:style>
  <w:style w:type="character" w:customStyle="1" w:styleId="a7">
    <w:name w:val="Верхний колонтитул Знак"/>
    <w:basedOn w:val="a0"/>
    <w:link w:val="a6"/>
    <w:uiPriority w:val="99"/>
    <w:semiHidden/>
    <w:rsid w:val="00D8258E"/>
    <w:rPr>
      <w:sz w:val="22"/>
      <w:szCs w:val="22"/>
      <w:lang w:eastAsia="en-US" w:bidi="ar-SA"/>
    </w:rPr>
  </w:style>
  <w:style w:type="paragraph" w:styleId="a8">
    <w:name w:val="footer"/>
    <w:basedOn w:val="a"/>
    <w:link w:val="a9"/>
    <w:uiPriority w:val="99"/>
    <w:semiHidden/>
    <w:unhideWhenUsed/>
    <w:rsid w:val="00D8258E"/>
    <w:pPr>
      <w:tabs>
        <w:tab w:val="center" w:pos="4677"/>
        <w:tab w:val="right" w:pos="9355"/>
      </w:tabs>
    </w:pPr>
  </w:style>
  <w:style w:type="character" w:customStyle="1" w:styleId="a9">
    <w:name w:val="Нижний колонтитул Знак"/>
    <w:basedOn w:val="a0"/>
    <w:link w:val="a8"/>
    <w:uiPriority w:val="99"/>
    <w:semiHidden/>
    <w:rsid w:val="00D8258E"/>
    <w:rPr>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341591434">
      <w:bodyDiv w:val="1"/>
      <w:marLeft w:val="0"/>
      <w:marRight w:val="0"/>
      <w:marTop w:val="0"/>
      <w:marBottom w:val="0"/>
      <w:divBdr>
        <w:top w:val="none" w:sz="0" w:space="0" w:color="auto"/>
        <w:left w:val="none" w:sz="0" w:space="0" w:color="auto"/>
        <w:bottom w:val="none" w:sz="0" w:space="0" w:color="auto"/>
        <w:right w:val="none" w:sz="0" w:space="0" w:color="auto"/>
      </w:divBdr>
    </w:div>
    <w:div w:id="19945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ninsk.sarmo.ru/ekonomika/novosti/?ELEMENT_ID=215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4DF0B-241E-4067-9B1A-043F21F6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5</cp:revision>
  <cp:lastPrinted>2020-01-23T10:50:00Z</cp:lastPrinted>
  <dcterms:created xsi:type="dcterms:W3CDTF">2023-02-16T07:58:00Z</dcterms:created>
  <dcterms:modified xsi:type="dcterms:W3CDTF">2023-02-16T09:20:00Z</dcterms:modified>
</cp:coreProperties>
</file>