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B0" w:rsidRPr="00F1172F" w:rsidRDefault="000904B0" w:rsidP="000904B0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№3</w:t>
      </w:r>
    </w:p>
    <w:p w:rsidR="000904B0" w:rsidRPr="007E75EA" w:rsidRDefault="000904B0" w:rsidP="000904B0">
      <w:pPr>
        <w:ind w:left="4111"/>
        <w:jc w:val="right"/>
        <w:rPr>
          <w:b/>
          <w:bCs/>
        </w:rPr>
      </w:pPr>
      <w:r w:rsidRPr="007E75EA">
        <w:rPr>
          <w:b/>
          <w:bCs/>
        </w:rPr>
        <w:t>к решению Калининского районного Собрания</w:t>
      </w:r>
    </w:p>
    <w:p w:rsidR="000904B0" w:rsidRPr="007E75EA" w:rsidRDefault="000904B0" w:rsidP="000904B0">
      <w:pPr>
        <w:ind w:left="4111"/>
        <w:jc w:val="right"/>
        <w:rPr>
          <w:b/>
          <w:bCs/>
        </w:rPr>
      </w:pPr>
      <w:r w:rsidRPr="007E75EA">
        <w:rPr>
          <w:b/>
          <w:bCs/>
        </w:rPr>
        <w:t>Калининского муниципального района</w:t>
      </w:r>
    </w:p>
    <w:p w:rsidR="000904B0" w:rsidRPr="007E75EA" w:rsidRDefault="000904B0" w:rsidP="000904B0">
      <w:pPr>
        <w:ind w:left="4111"/>
        <w:jc w:val="right"/>
        <w:rPr>
          <w:b/>
          <w:bCs/>
        </w:rPr>
      </w:pPr>
      <w:r w:rsidRPr="007E75EA">
        <w:rPr>
          <w:b/>
          <w:bCs/>
        </w:rPr>
        <w:t xml:space="preserve">от </w:t>
      </w:r>
      <w:proofErr w:type="spellStart"/>
      <w:r w:rsidRPr="007E75EA">
        <w:rPr>
          <w:b/>
          <w:bCs/>
        </w:rPr>
        <w:t>__________</w:t>
      </w:r>
      <w:proofErr w:type="gramStart"/>
      <w:r w:rsidRPr="007E75EA">
        <w:rPr>
          <w:b/>
          <w:bCs/>
        </w:rPr>
        <w:t>г</w:t>
      </w:r>
      <w:proofErr w:type="spellEnd"/>
      <w:proofErr w:type="gramEnd"/>
      <w:r w:rsidRPr="007E75EA">
        <w:rPr>
          <w:b/>
          <w:bCs/>
        </w:rPr>
        <w:t>. № ________</w:t>
      </w:r>
    </w:p>
    <w:p w:rsidR="000904B0" w:rsidRPr="007E75EA" w:rsidRDefault="000904B0" w:rsidP="000904B0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0904B0" w:rsidRPr="007E75EA" w:rsidRDefault="000904B0" w:rsidP="000904B0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3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5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0904B0" w:rsidRPr="007E75EA" w:rsidRDefault="000904B0" w:rsidP="000904B0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</w:t>
      </w:r>
      <w:proofErr w:type="gramStart"/>
      <w:r w:rsidRPr="007E75EA">
        <w:rPr>
          <w:bCs/>
          <w:sz w:val="20"/>
          <w:szCs w:val="20"/>
          <w:lang w:bidi="sd-Deva-IN"/>
        </w:rPr>
        <w:t>.р</w:t>
      </w:r>
      <w:proofErr w:type="gramEnd"/>
      <w:r w:rsidRPr="007E75EA">
        <w:rPr>
          <w:bCs/>
          <w:sz w:val="20"/>
          <w:szCs w:val="20"/>
          <w:lang w:bidi="sd-Deva-IN"/>
        </w:rPr>
        <w:t>уб.)</w:t>
      </w:r>
    </w:p>
    <w:tbl>
      <w:tblPr>
        <w:tblW w:w="15791" w:type="dxa"/>
        <w:tblInd w:w="93" w:type="dxa"/>
        <w:tblLayout w:type="fixed"/>
        <w:tblLook w:val="04A0"/>
      </w:tblPr>
      <w:tblGrid>
        <w:gridCol w:w="6536"/>
        <w:gridCol w:w="633"/>
        <w:gridCol w:w="957"/>
        <w:gridCol w:w="1003"/>
        <w:gridCol w:w="1596"/>
        <w:gridCol w:w="1188"/>
        <w:gridCol w:w="1327"/>
        <w:gridCol w:w="1275"/>
        <w:gridCol w:w="1276"/>
      </w:tblGrid>
      <w:tr w:rsidR="000904B0" w:rsidRPr="00DB3055" w:rsidTr="00DE385B">
        <w:trPr>
          <w:trHeight w:val="27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2025 год</w:t>
            </w:r>
          </w:p>
        </w:tc>
      </w:tr>
      <w:tr w:rsidR="000904B0" w:rsidRPr="00DB3055" w:rsidTr="00DE385B">
        <w:trPr>
          <w:trHeight w:val="27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665,5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665,5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665,5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656,5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656,5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15 308,5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9 943,0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9 454,7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13 602,3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8 183,8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7 598,3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Обеспечение деятельности финансовых, налоговых и </w:t>
            </w:r>
            <w:r w:rsidRPr="00DB3055"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8 602,3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7 598,3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1 093,3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1 093,3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1 093,3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1 093,3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1 093,3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6 505,0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6 505,0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6 505,0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Муниципальная программа "Обеспечение организации </w:t>
            </w:r>
            <w:r w:rsidRPr="00DB3055">
              <w:lastRenderedPageBreak/>
              <w:t>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11,5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1 814,9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1 814,9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1 814,9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1 814,9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1 814,9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1 814,9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1 814,9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147 654,1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139 140,5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132 233,2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76 093,6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69 823,9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63 815,2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2 634,0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2 634,0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2 634,0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2 634,0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2 634,0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2 634,0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23 305,6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19 873,2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2 223,6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2 223,6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Осуществление государственных полномочий по </w:t>
            </w:r>
            <w:r w:rsidRPr="00DB3055">
              <w:lastRenderedPageBreak/>
              <w:t>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741,2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741,2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741,2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B3055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370,6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20 802,0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22 478,3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17 519,6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20 802,0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22 478,3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17 519,6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17 419,6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17 366,0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17 366,0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53,6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53,6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49 124,0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41 308,0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40 308,0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Иные закупки товаров, работ и услуг для обеспечения </w:t>
            </w:r>
            <w:r w:rsidRPr="00DB305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32 300,0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32 300,0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28 586,0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29 440,0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28 480,0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29 440,0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28 480,0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3 650,0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12 450,0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3 645,0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12 450,0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3 645,0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1 203,0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1 203,0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1 203,0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1 200,0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1 200,0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Муниципальная программа «Обеспечение деятельности муниципального бюджетного учреждения «Централизованная бухгалтерия» администрации </w:t>
            </w:r>
            <w:r w:rsidRPr="00DB3055">
              <w:lastRenderedPageBreak/>
              <w:t>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1 938,0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1 938,0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1 938,0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1 938,0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1 804,0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Уплата земельного налога, налога  на имущество и </w:t>
            </w:r>
            <w:r w:rsidRPr="00DB3055">
              <w:lastRenderedPageBreak/>
              <w:t>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62 461,3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60 050,0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59 050,0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62 461,3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60 050,0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59 050,0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62 461,3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60 050,0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59 050,0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62 461,3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60 050,0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59 050,0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19 991,3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18 834,2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18 834,2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165,8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165,8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39 900,0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Закупка товаров, работ и услуг для обеспечения </w:t>
            </w:r>
            <w:r w:rsidRPr="00DB305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42 120,0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39 750,0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42 120,0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39 750,0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39 750,0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170,0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Муниципальная программа "Материально-техническое </w:t>
            </w:r>
            <w:r w:rsidRPr="00DB3055">
              <w:lastRenderedPageBreak/>
              <w:t>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6 109,6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6 308,4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3 592,0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2 716,4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2 716,4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2 716,4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2 516,4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2 441,4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2 441,4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951,6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lastRenderedPageBreak/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722,9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722,9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722,9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722,9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722,9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722,9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713,9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713,9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434 502,2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408 884,8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408 911,1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425 159,4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405 542,0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405 568,3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57 779,6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57 779,6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57 779,6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57 779,6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57 779,6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57 779,6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57 779,6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57 779,6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33 626,8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33 626,8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33 626,8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501,6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22 151,2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22 151,2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22 151,2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315 311,2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315 337,5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315 311,2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315 337,5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315 311,2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315 337,5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315 311,2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315 337,5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247,6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247,6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247,6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288 228,3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288 228,3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288 228,3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138,8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138,8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138,8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roofErr w:type="gramStart"/>
            <w:r w:rsidRPr="00DB3055"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3 853,2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3 853,2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3 853,2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17 869,6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17 869,6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19 102,8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17 869,6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12 704,6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9 181,9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10 024,2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9 181,9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10 024,2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9 181,9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10 024,2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9 181,9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Обеспечение персонифицированного финансирования </w:t>
            </w:r>
            <w:r w:rsidRPr="00DB3055">
              <w:lastRenderedPageBreak/>
              <w:t>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2 300,0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6 681,9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6 681,9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6 681,9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Обеспечение </w:t>
            </w:r>
            <w:proofErr w:type="gramStart"/>
            <w:r w:rsidRPr="00DB305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 xml:space="preserve">Сохранение достигнутых </w:t>
            </w:r>
            <w:proofErr w:type="gramStart"/>
            <w:r w:rsidRPr="00DB3055">
              <w:t>показателей повышения оплаты труда отдельных категорий работников бюджетной сферы</w:t>
            </w:r>
            <w:proofErr w:type="gramEnd"/>
            <w:r w:rsidRPr="00DB3055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2 575,0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20 791,6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20 694,3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20 694,3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13 784,6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13 687,3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13 687,3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Подпрограмма "Развитие общеобразовательных </w:t>
            </w:r>
            <w:r w:rsidRPr="00DB3055">
              <w:lastRenderedPageBreak/>
              <w:t>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11 896,9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11 849,6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11 896,9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11 849,6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232,8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232,8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232,8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209,3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209,3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209,3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10 907,5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10 907,5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10 907,5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10 907,5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10 907,5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10 907,5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1 802,7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1 802,7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1 702,7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1 702,7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1 702,7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7 007,0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7 007,0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7 007,0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Расходы на выплаты персоналу государственных </w:t>
            </w:r>
            <w:r w:rsidRPr="00DB3055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3 297,8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3 297,8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Туризм и индустрия гостеприимства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7U001НП100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Закупка товаров, работ и услуг для обеспечения </w:t>
            </w:r>
            <w:r w:rsidRPr="00DB305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7U001НП100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7U001НП100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9 372,0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8 105,0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7 455,0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7 787,0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7 275,0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7 787,0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7 275,0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</w:t>
            </w:r>
            <w:r w:rsidRPr="00DB3055">
              <w:lastRenderedPageBreak/>
              <w:t>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6 972,0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6 972,0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7 005,0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6 969,5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7 002,5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2,5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укреплению материально-технической базы Управления земельно-</w:t>
            </w:r>
            <w:r w:rsidRPr="00DB3055">
              <w:lastRenderedPageBreak/>
              <w:t>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35 781,0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20 082,3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20 086,0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35 781,0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20 082,3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20 086,0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33 551,4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16 326,2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16 329,9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16 227,2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16 326,2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16 329,9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8 194,2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8 194,2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8 194,2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8 194,2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8 094,2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8 094,2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8 094,2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7 839,9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8 135,7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7 839,9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8 135,7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6 135,7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6 135,7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6 135,7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Обеспечение </w:t>
            </w:r>
            <w:proofErr w:type="gramStart"/>
            <w:r w:rsidRPr="00DB305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17 044,5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9 044,5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Сохранение достигнутых </w:t>
            </w:r>
            <w:proofErr w:type="gramStart"/>
            <w:r w:rsidRPr="00DB3055">
              <w:t>показателей повышения оплаты труда отдельных категорий работников бюджетной сферы</w:t>
            </w:r>
            <w:proofErr w:type="gramEnd"/>
            <w:r w:rsidRPr="00DB3055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3 756,1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3 756,1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3 756,1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3 756,1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3 726,1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3 726,1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28,6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1,4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1,4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38 438,5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34 357,1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33 783,8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DB3055">
              <w:t>Калининского</w:t>
            </w:r>
            <w:proofErr w:type="gramEnd"/>
            <w:r w:rsidRPr="00DB3055">
              <w:t xml:space="preserve">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29 451,6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26 099,0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26 525,7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</w:t>
            </w:r>
            <w:proofErr w:type="spellStart"/>
            <w:r w:rsidRPr="00DB3055">
              <w:t>Энергоэффективность</w:t>
            </w:r>
            <w:proofErr w:type="spellEnd"/>
            <w:r w:rsidRPr="00DB3055">
              <w:t xml:space="preserve">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Основное мероприятие "Мероприятия по </w:t>
            </w:r>
            <w:proofErr w:type="spellStart"/>
            <w:r w:rsidRPr="00DB3055">
              <w:lastRenderedPageBreak/>
              <w:t>энергоэффективности</w:t>
            </w:r>
            <w:proofErr w:type="spellEnd"/>
            <w:r w:rsidRPr="00DB3055">
              <w:t xml:space="preserve">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B3055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194,6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 xml:space="preserve">Иные закупки товаров, работ и услуг для обеспечения </w:t>
            </w:r>
            <w:r w:rsidRPr="00DB305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25 631,1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25 631,1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25 631,1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25 631,1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25 631,1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25 631,1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7 028,8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6 400,0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6 000,0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5 990,0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6 990,0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5 990,0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258,1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lastRenderedPageBreak/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258,1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r w:rsidRPr="00DB3055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center"/>
            </w:pPr>
            <w:r w:rsidRPr="00DB3055"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</w:pPr>
            <w:r w:rsidRPr="00DB3055">
              <w:t>100,0</w:t>
            </w:r>
          </w:p>
        </w:tc>
      </w:tr>
      <w:tr w:rsidR="000904B0" w:rsidRPr="00DB3055" w:rsidTr="00DE385B">
        <w:trPr>
          <w:trHeight w:val="20"/>
        </w:trPr>
        <w:tc>
          <w:tcPr>
            <w:tcW w:w="1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4B0" w:rsidRPr="00DB3055" w:rsidRDefault="000904B0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682 412,5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 xml:space="preserve">621 901,1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4B0" w:rsidRPr="00DB3055" w:rsidRDefault="000904B0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 xml:space="preserve">613 312,2 </w:t>
            </w:r>
          </w:p>
        </w:tc>
      </w:tr>
    </w:tbl>
    <w:p w:rsidR="001D0435" w:rsidRPr="000904B0" w:rsidRDefault="001D0435" w:rsidP="000904B0"/>
    <w:sectPr w:rsidR="001D0435" w:rsidRPr="000904B0" w:rsidSect="00A6626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260"/>
    <w:rsid w:val="000904B0"/>
    <w:rsid w:val="001D0435"/>
    <w:rsid w:val="001D4705"/>
    <w:rsid w:val="00255896"/>
    <w:rsid w:val="008A4970"/>
    <w:rsid w:val="008C11D5"/>
    <w:rsid w:val="00A236E1"/>
    <w:rsid w:val="00A66260"/>
    <w:rsid w:val="00C46839"/>
    <w:rsid w:val="00CE0587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626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66260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904B0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A662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6260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A66260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A66260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662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66260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662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66260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662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A6626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A66260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662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A66260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A66260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A662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6626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66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A66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A66260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A662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A66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6626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6626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6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6260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A662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A66260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A66260"/>
    <w:rPr>
      <w:color w:val="0000FF"/>
      <w:u w:val="single"/>
    </w:rPr>
  </w:style>
  <w:style w:type="table" w:styleId="af">
    <w:name w:val="Table Grid"/>
    <w:basedOn w:val="a1"/>
    <w:uiPriority w:val="59"/>
    <w:rsid w:val="00A662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A6626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A662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A662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662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6626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A66260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A66260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A66260"/>
  </w:style>
  <w:style w:type="character" w:styleId="af5">
    <w:name w:val="FollowedHyperlink"/>
    <w:uiPriority w:val="99"/>
    <w:unhideWhenUsed/>
    <w:rsid w:val="00A66260"/>
    <w:rPr>
      <w:color w:val="800080"/>
      <w:u w:val="single"/>
    </w:rPr>
  </w:style>
  <w:style w:type="paragraph" w:customStyle="1" w:styleId="xl64">
    <w:name w:val="xl64"/>
    <w:basedOn w:val="a"/>
    <w:rsid w:val="00A6626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A662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6260"/>
  </w:style>
  <w:style w:type="paragraph" w:customStyle="1" w:styleId="xl80">
    <w:name w:val="xl80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66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6626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A66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A66260"/>
  </w:style>
  <w:style w:type="paragraph" w:customStyle="1" w:styleId="xl86">
    <w:name w:val="xl86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662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66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662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A662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A662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A662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A662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66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66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66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нак Знак4"/>
    <w:rsid w:val="001D4705"/>
    <w:rPr>
      <w:rFonts w:ascii="Times New Roman" w:eastAsia="Times New Roman" w:hAnsi="Times New Roman" w:cs="Times New Roman"/>
      <w:sz w:val="24"/>
      <w:szCs w:val="20"/>
    </w:rPr>
  </w:style>
  <w:style w:type="paragraph" w:customStyle="1" w:styleId="xl63">
    <w:name w:val="xl63"/>
    <w:basedOn w:val="a"/>
    <w:rsid w:val="001D4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7">
    <w:name w:val="footer"/>
    <w:basedOn w:val="a"/>
    <w:link w:val="af8"/>
    <w:rsid w:val="001D47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1D4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904B0"/>
    <w:rPr>
      <w:rFonts w:ascii="Calibri" w:eastAsia="Times New Roman" w:hAnsi="Calibri" w:cs="Times New Roman"/>
      <w:b/>
      <w:bCs/>
      <w:lang/>
    </w:rPr>
  </w:style>
  <w:style w:type="character" w:customStyle="1" w:styleId="41">
    <w:name w:val=" Знак Знак4"/>
    <w:rsid w:val="000904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11057</Words>
  <Characters>63025</Characters>
  <Application>Microsoft Office Word</Application>
  <DocSecurity>0</DocSecurity>
  <Lines>525</Lines>
  <Paragraphs>147</Paragraphs>
  <ScaleCrop>false</ScaleCrop>
  <Company>Районное собрание Калининского МР</Company>
  <LinksUpToDate>false</LinksUpToDate>
  <CharactersWithSpaces>73935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2021-11-17T12:05:00Z</dcterms:created>
  <dcterms:modified xsi:type="dcterms:W3CDTF">2022-11-15T09:06:00Z</dcterms:modified>
</cp:coreProperties>
</file>