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125757">
        <w:t>4</w:t>
      </w:r>
      <w:r w:rsidR="00F27B27">
        <w:t xml:space="preserve"> </w:t>
      </w:r>
      <w:r w:rsidR="005F2A89">
        <w:t>дека</w:t>
      </w:r>
      <w:r w:rsidR="001C5A87">
        <w:t>бря</w:t>
      </w:r>
      <w:r w:rsidR="00AF534F">
        <w:t xml:space="preserve"> 202</w:t>
      </w:r>
      <w:r w:rsidR="001975F8">
        <w:t>1</w:t>
      </w:r>
      <w:r w:rsidR="001C79B7">
        <w:t xml:space="preserve"> года № </w:t>
      </w:r>
      <w:r w:rsidR="0011506E">
        <w:t>1515</w:t>
      </w:r>
    </w:p>
    <w:p w:rsidR="00D76A80" w:rsidRDefault="00D76A80" w:rsidP="00EE134D">
      <w:pPr>
        <w:jc w:val="center"/>
      </w:pPr>
    </w:p>
    <w:p w:rsidR="008B1D60" w:rsidRDefault="00A9752B" w:rsidP="00EE134D">
      <w:pPr>
        <w:jc w:val="center"/>
      </w:pPr>
      <w:r>
        <w:t>г. Калининск</w:t>
      </w:r>
    </w:p>
    <w:p w:rsidR="00053623" w:rsidRPr="00053623" w:rsidRDefault="00053623" w:rsidP="00053623">
      <w:pPr>
        <w:ind w:firstLine="567"/>
        <w:jc w:val="both"/>
        <w:rPr>
          <w:color w:val="000000"/>
          <w:sz w:val="28"/>
          <w:szCs w:val="26"/>
        </w:rPr>
      </w:pPr>
    </w:p>
    <w:p w:rsidR="00053623" w:rsidRPr="00053623" w:rsidRDefault="00053623" w:rsidP="00053623">
      <w:pPr>
        <w:jc w:val="both"/>
        <w:rPr>
          <w:b/>
          <w:color w:val="000000"/>
          <w:sz w:val="28"/>
          <w:szCs w:val="26"/>
        </w:rPr>
      </w:pPr>
      <w:r w:rsidRPr="00053623">
        <w:rPr>
          <w:b/>
          <w:color w:val="000000"/>
          <w:sz w:val="28"/>
          <w:szCs w:val="26"/>
        </w:rPr>
        <w:t>О внесении изменений в постановление</w:t>
      </w:r>
    </w:p>
    <w:p w:rsidR="00053623" w:rsidRPr="00053623" w:rsidRDefault="00053623" w:rsidP="00053623">
      <w:pPr>
        <w:jc w:val="both"/>
        <w:rPr>
          <w:b/>
          <w:color w:val="000000"/>
          <w:sz w:val="28"/>
          <w:szCs w:val="26"/>
        </w:rPr>
      </w:pPr>
      <w:r w:rsidRPr="00053623">
        <w:rPr>
          <w:b/>
          <w:color w:val="000000"/>
          <w:sz w:val="28"/>
          <w:szCs w:val="26"/>
        </w:rPr>
        <w:t xml:space="preserve">администрации Калининского </w:t>
      </w:r>
    </w:p>
    <w:p w:rsidR="00053623" w:rsidRPr="00053623" w:rsidRDefault="00053623" w:rsidP="00053623">
      <w:pPr>
        <w:jc w:val="both"/>
        <w:rPr>
          <w:b/>
          <w:color w:val="000000"/>
          <w:sz w:val="28"/>
          <w:szCs w:val="26"/>
        </w:rPr>
      </w:pPr>
      <w:r w:rsidRPr="00053623">
        <w:rPr>
          <w:b/>
          <w:color w:val="000000"/>
          <w:sz w:val="28"/>
          <w:szCs w:val="26"/>
        </w:rPr>
        <w:t xml:space="preserve">муниципального района Саратовской </w:t>
      </w:r>
    </w:p>
    <w:p w:rsidR="00053623" w:rsidRPr="00053623" w:rsidRDefault="00053623" w:rsidP="00053623">
      <w:pPr>
        <w:jc w:val="both"/>
        <w:rPr>
          <w:b/>
          <w:color w:val="000000"/>
          <w:sz w:val="28"/>
          <w:szCs w:val="26"/>
        </w:rPr>
      </w:pPr>
      <w:r w:rsidRPr="00053623">
        <w:rPr>
          <w:b/>
          <w:color w:val="000000"/>
          <w:sz w:val="28"/>
          <w:szCs w:val="26"/>
        </w:rPr>
        <w:t xml:space="preserve">области </w:t>
      </w:r>
      <w:r w:rsidR="008F2336">
        <w:rPr>
          <w:b/>
          <w:color w:val="000000"/>
          <w:sz w:val="28"/>
          <w:szCs w:val="26"/>
        </w:rPr>
        <w:t>от 17.12.2018 года</w:t>
      </w:r>
      <w:r w:rsidRPr="00053623">
        <w:rPr>
          <w:b/>
          <w:color w:val="000000"/>
          <w:sz w:val="28"/>
          <w:szCs w:val="26"/>
        </w:rPr>
        <w:t xml:space="preserve"> № 1427</w:t>
      </w:r>
    </w:p>
    <w:p w:rsidR="00053623" w:rsidRPr="00053623" w:rsidRDefault="00053623" w:rsidP="00053623">
      <w:pPr>
        <w:jc w:val="both"/>
        <w:rPr>
          <w:b/>
          <w:color w:val="000000"/>
          <w:sz w:val="28"/>
          <w:szCs w:val="26"/>
        </w:rPr>
      </w:pPr>
      <w:r w:rsidRPr="00053623">
        <w:rPr>
          <w:b/>
          <w:color w:val="000000"/>
          <w:sz w:val="28"/>
          <w:szCs w:val="26"/>
        </w:rPr>
        <w:t xml:space="preserve">(с изм. от 25.02.2019 года № 244, </w:t>
      </w:r>
    </w:p>
    <w:p w:rsidR="008F2336" w:rsidRDefault="00053623" w:rsidP="00053623">
      <w:pPr>
        <w:jc w:val="both"/>
        <w:rPr>
          <w:b/>
          <w:color w:val="000000"/>
          <w:sz w:val="28"/>
          <w:szCs w:val="26"/>
        </w:rPr>
      </w:pPr>
      <w:r w:rsidRPr="00053623">
        <w:rPr>
          <w:b/>
          <w:color w:val="000000"/>
          <w:sz w:val="28"/>
          <w:szCs w:val="26"/>
        </w:rPr>
        <w:t xml:space="preserve">от 27.08.2019 года № 1137, </w:t>
      </w:r>
    </w:p>
    <w:p w:rsidR="00053623" w:rsidRPr="00053623" w:rsidRDefault="00053623" w:rsidP="00053623">
      <w:pPr>
        <w:jc w:val="both"/>
        <w:rPr>
          <w:b/>
          <w:color w:val="000000"/>
          <w:sz w:val="28"/>
          <w:szCs w:val="26"/>
        </w:rPr>
      </w:pPr>
      <w:r w:rsidRPr="00053623">
        <w:rPr>
          <w:b/>
          <w:color w:val="000000"/>
          <w:sz w:val="28"/>
          <w:szCs w:val="26"/>
        </w:rPr>
        <w:t xml:space="preserve">от 12.09.2019 года № 1210, </w:t>
      </w:r>
    </w:p>
    <w:p w:rsidR="008F2336" w:rsidRDefault="00053623" w:rsidP="00053623">
      <w:pPr>
        <w:jc w:val="both"/>
        <w:rPr>
          <w:b/>
          <w:color w:val="000000"/>
          <w:sz w:val="28"/>
          <w:szCs w:val="26"/>
        </w:rPr>
      </w:pPr>
      <w:r w:rsidRPr="00053623">
        <w:rPr>
          <w:b/>
          <w:color w:val="000000"/>
          <w:sz w:val="28"/>
          <w:szCs w:val="26"/>
        </w:rPr>
        <w:t xml:space="preserve">от 10.10.2019 года № 1363, </w:t>
      </w:r>
    </w:p>
    <w:p w:rsidR="00053623" w:rsidRPr="00053623" w:rsidRDefault="008F2336" w:rsidP="00053623">
      <w:pPr>
        <w:jc w:val="both"/>
        <w:rPr>
          <w:b/>
          <w:color w:val="000000"/>
          <w:sz w:val="28"/>
          <w:szCs w:val="26"/>
        </w:rPr>
      </w:pPr>
      <w:r>
        <w:rPr>
          <w:b/>
          <w:color w:val="000000"/>
          <w:sz w:val="28"/>
          <w:szCs w:val="26"/>
        </w:rPr>
        <w:t>от 31.12.2019 года</w:t>
      </w:r>
      <w:r w:rsidR="00053623" w:rsidRPr="00053623">
        <w:rPr>
          <w:b/>
          <w:color w:val="000000"/>
          <w:sz w:val="28"/>
          <w:szCs w:val="26"/>
        </w:rPr>
        <w:t xml:space="preserve"> № 1793,</w:t>
      </w:r>
    </w:p>
    <w:p w:rsidR="008F2336" w:rsidRDefault="008F2336" w:rsidP="00053623">
      <w:pPr>
        <w:jc w:val="both"/>
        <w:rPr>
          <w:b/>
          <w:color w:val="000000"/>
          <w:sz w:val="28"/>
          <w:szCs w:val="26"/>
        </w:rPr>
      </w:pPr>
      <w:r>
        <w:rPr>
          <w:b/>
          <w:color w:val="000000"/>
          <w:sz w:val="28"/>
          <w:szCs w:val="26"/>
        </w:rPr>
        <w:t>от 05.03.2020 года</w:t>
      </w:r>
      <w:r w:rsidR="00053623" w:rsidRPr="00053623">
        <w:rPr>
          <w:b/>
          <w:color w:val="000000"/>
          <w:sz w:val="28"/>
          <w:szCs w:val="26"/>
        </w:rPr>
        <w:t xml:space="preserve"> № 226, </w:t>
      </w:r>
    </w:p>
    <w:p w:rsidR="00053623" w:rsidRPr="00053623" w:rsidRDefault="008F2336" w:rsidP="00053623">
      <w:pPr>
        <w:jc w:val="both"/>
        <w:rPr>
          <w:b/>
          <w:color w:val="000000"/>
          <w:sz w:val="28"/>
          <w:szCs w:val="26"/>
        </w:rPr>
      </w:pPr>
      <w:r>
        <w:rPr>
          <w:b/>
          <w:color w:val="000000"/>
          <w:sz w:val="28"/>
          <w:szCs w:val="26"/>
        </w:rPr>
        <w:t>от 16.06.2020 года</w:t>
      </w:r>
      <w:r w:rsidR="00053623" w:rsidRPr="00053623">
        <w:rPr>
          <w:b/>
          <w:color w:val="000000"/>
          <w:sz w:val="28"/>
          <w:szCs w:val="26"/>
        </w:rPr>
        <w:t xml:space="preserve"> № 551,</w:t>
      </w:r>
    </w:p>
    <w:p w:rsidR="008F2336" w:rsidRDefault="008F2336" w:rsidP="00053623">
      <w:pPr>
        <w:jc w:val="both"/>
        <w:rPr>
          <w:b/>
          <w:color w:val="000000"/>
          <w:sz w:val="28"/>
          <w:szCs w:val="26"/>
        </w:rPr>
      </w:pPr>
      <w:r>
        <w:rPr>
          <w:b/>
          <w:color w:val="000000"/>
          <w:sz w:val="28"/>
          <w:szCs w:val="26"/>
        </w:rPr>
        <w:t>от 11.08.2020 года</w:t>
      </w:r>
      <w:r w:rsidR="00053623" w:rsidRPr="00053623">
        <w:rPr>
          <w:b/>
          <w:color w:val="000000"/>
          <w:sz w:val="28"/>
          <w:szCs w:val="26"/>
        </w:rPr>
        <w:t xml:space="preserve"> № 782, </w:t>
      </w:r>
    </w:p>
    <w:p w:rsidR="00053623" w:rsidRPr="00053623" w:rsidRDefault="00053623" w:rsidP="00053623">
      <w:pPr>
        <w:jc w:val="both"/>
        <w:rPr>
          <w:b/>
          <w:color w:val="000000"/>
          <w:sz w:val="28"/>
          <w:szCs w:val="26"/>
        </w:rPr>
      </w:pPr>
      <w:r w:rsidRPr="00053623">
        <w:rPr>
          <w:b/>
          <w:color w:val="000000"/>
          <w:sz w:val="28"/>
          <w:szCs w:val="26"/>
        </w:rPr>
        <w:t>от 28.10.2</w:t>
      </w:r>
      <w:r w:rsidR="008F2336">
        <w:rPr>
          <w:b/>
          <w:color w:val="000000"/>
          <w:sz w:val="28"/>
          <w:szCs w:val="26"/>
        </w:rPr>
        <w:t>020 года</w:t>
      </w:r>
      <w:r w:rsidRPr="00053623">
        <w:rPr>
          <w:b/>
          <w:color w:val="000000"/>
          <w:sz w:val="28"/>
          <w:szCs w:val="26"/>
        </w:rPr>
        <w:t xml:space="preserve"> № 1069, </w:t>
      </w:r>
    </w:p>
    <w:p w:rsidR="008F2336" w:rsidRDefault="00053623" w:rsidP="00053623">
      <w:pPr>
        <w:jc w:val="both"/>
        <w:rPr>
          <w:b/>
          <w:color w:val="000000"/>
          <w:sz w:val="28"/>
          <w:szCs w:val="26"/>
        </w:rPr>
      </w:pPr>
      <w:r w:rsidRPr="00053623">
        <w:rPr>
          <w:b/>
          <w:color w:val="000000"/>
          <w:sz w:val="28"/>
          <w:szCs w:val="26"/>
        </w:rPr>
        <w:t xml:space="preserve">от </w:t>
      </w:r>
      <w:r w:rsidR="008F2336">
        <w:rPr>
          <w:b/>
          <w:color w:val="000000"/>
          <w:sz w:val="28"/>
          <w:szCs w:val="26"/>
        </w:rPr>
        <w:t>04.12.2020 года</w:t>
      </w:r>
      <w:r w:rsidRPr="00053623">
        <w:rPr>
          <w:b/>
          <w:color w:val="000000"/>
          <w:sz w:val="28"/>
          <w:szCs w:val="26"/>
        </w:rPr>
        <w:t xml:space="preserve"> № 1254, </w:t>
      </w:r>
    </w:p>
    <w:p w:rsidR="008F2336" w:rsidRDefault="008F2336" w:rsidP="00053623">
      <w:pPr>
        <w:jc w:val="both"/>
        <w:rPr>
          <w:b/>
          <w:color w:val="000000"/>
          <w:sz w:val="28"/>
          <w:szCs w:val="26"/>
        </w:rPr>
      </w:pPr>
      <w:r>
        <w:rPr>
          <w:b/>
          <w:color w:val="000000"/>
          <w:sz w:val="28"/>
          <w:szCs w:val="26"/>
        </w:rPr>
        <w:t>от 30.12.2020 года</w:t>
      </w:r>
      <w:r w:rsidR="00053623" w:rsidRPr="00053623">
        <w:rPr>
          <w:b/>
          <w:color w:val="000000"/>
          <w:sz w:val="28"/>
          <w:szCs w:val="26"/>
        </w:rPr>
        <w:t xml:space="preserve"> № 1400, </w:t>
      </w:r>
    </w:p>
    <w:p w:rsidR="00053623" w:rsidRPr="00053623" w:rsidRDefault="008F2336" w:rsidP="00053623">
      <w:pPr>
        <w:jc w:val="both"/>
        <w:rPr>
          <w:b/>
          <w:color w:val="000000"/>
          <w:sz w:val="28"/>
          <w:szCs w:val="26"/>
        </w:rPr>
      </w:pPr>
      <w:r>
        <w:rPr>
          <w:b/>
          <w:color w:val="000000"/>
          <w:sz w:val="28"/>
          <w:szCs w:val="26"/>
        </w:rPr>
        <w:t>от 19.02.2021 года</w:t>
      </w:r>
      <w:r w:rsidR="00053623" w:rsidRPr="00053623">
        <w:rPr>
          <w:b/>
          <w:color w:val="000000"/>
          <w:sz w:val="28"/>
          <w:szCs w:val="26"/>
        </w:rPr>
        <w:t xml:space="preserve"> № 172, </w:t>
      </w:r>
    </w:p>
    <w:p w:rsidR="00053623" w:rsidRPr="00053623" w:rsidRDefault="008F2336" w:rsidP="00053623">
      <w:pPr>
        <w:jc w:val="both"/>
        <w:rPr>
          <w:b/>
          <w:color w:val="000000"/>
          <w:sz w:val="28"/>
          <w:szCs w:val="26"/>
        </w:rPr>
      </w:pPr>
      <w:r>
        <w:rPr>
          <w:b/>
          <w:color w:val="000000"/>
          <w:sz w:val="28"/>
          <w:szCs w:val="26"/>
        </w:rPr>
        <w:t xml:space="preserve">от 25.11.2021 года </w:t>
      </w:r>
      <w:r w:rsidR="00053623" w:rsidRPr="00053623">
        <w:rPr>
          <w:b/>
          <w:color w:val="000000"/>
          <w:sz w:val="28"/>
          <w:szCs w:val="26"/>
        </w:rPr>
        <w:t>№ 1406)</w:t>
      </w:r>
    </w:p>
    <w:p w:rsidR="00053623" w:rsidRPr="00053623" w:rsidRDefault="00053623" w:rsidP="00053623">
      <w:pPr>
        <w:ind w:firstLine="567"/>
        <w:jc w:val="both"/>
        <w:rPr>
          <w:color w:val="000000"/>
          <w:sz w:val="28"/>
          <w:szCs w:val="26"/>
        </w:rPr>
      </w:pPr>
    </w:p>
    <w:p w:rsidR="00053623" w:rsidRPr="00053623" w:rsidRDefault="00053623" w:rsidP="00053623">
      <w:pPr>
        <w:shd w:val="clear" w:color="auto" w:fill="FFFFFF"/>
        <w:ind w:firstLine="567"/>
        <w:jc w:val="both"/>
        <w:rPr>
          <w:sz w:val="28"/>
          <w:szCs w:val="26"/>
        </w:rPr>
      </w:pPr>
      <w:r w:rsidRPr="00053623">
        <w:rPr>
          <w:sz w:val="28"/>
          <w:szCs w:val="26"/>
        </w:rPr>
        <w:t>В соответствии с Феде</w:t>
      </w:r>
      <w:r w:rsidR="008F2336">
        <w:rPr>
          <w:sz w:val="28"/>
          <w:szCs w:val="26"/>
        </w:rPr>
        <w:t>ральным законом от 06.10.2003 года № 131-</w:t>
      </w:r>
      <w:r w:rsidRPr="00053623">
        <w:rPr>
          <w:sz w:val="28"/>
          <w:szCs w:val="26"/>
        </w:rPr>
        <w:t xml:space="preserve">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sidR="008F2336">
        <w:rPr>
          <w:sz w:val="28"/>
          <w:szCs w:val="26"/>
        </w:rPr>
        <w:t>Саратовской области от 04.10.2013 года</w:t>
      </w:r>
      <w:r w:rsidRPr="00053623">
        <w:rPr>
          <w:sz w:val="28"/>
          <w:szCs w:val="26"/>
        </w:rPr>
        <w:t xml:space="preserve"> </w:t>
      </w:r>
      <w:r w:rsidR="008F2336" w:rsidRPr="00053623">
        <w:rPr>
          <w:sz w:val="28"/>
          <w:szCs w:val="26"/>
        </w:rPr>
        <w:t xml:space="preserve">№ 2457 </w:t>
      </w:r>
      <w:r w:rsidRPr="00053623">
        <w:rPr>
          <w:sz w:val="28"/>
          <w:szCs w:val="26"/>
        </w:rPr>
        <w:t>«О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w:t>
      </w:r>
      <w:r w:rsidR="008F2336">
        <w:rPr>
          <w:sz w:val="28"/>
          <w:szCs w:val="26"/>
        </w:rPr>
        <w:t>ного района Саратовской области,</w:t>
      </w:r>
      <w:r w:rsidRPr="00053623">
        <w:rPr>
          <w:sz w:val="28"/>
          <w:szCs w:val="26"/>
        </w:rPr>
        <w:t xml:space="preserve"> ПОСТАНОВЛЯЕТ:</w:t>
      </w:r>
    </w:p>
    <w:p w:rsidR="00053623" w:rsidRPr="00053623" w:rsidRDefault="00053623" w:rsidP="00053623">
      <w:pPr>
        <w:ind w:firstLine="567"/>
        <w:jc w:val="both"/>
        <w:rPr>
          <w:sz w:val="28"/>
          <w:szCs w:val="26"/>
        </w:rPr>
      </w:pPr>
    </w:p>
    <w:p w:rsidR="00053623" w:rsidRPr="00053623" w:rsidRDefault="008F2336" w:rsidP="00053623">
      <w:pPr>
        <w:ind w:firstLine="567"/>
        <w:jc w:val="both"/>
        <w:rPr>
          <w:sz w:val="28"/>
          <w:szCs w:val="26"/>
        </w:rPr>
      </w:pPr>
      <w:bookmarkStart w:id="0" w:name="sub_1"/>
      <w:r>
        <w:rPr>
          <w:sz w:val="28"/>
          <w:szCs w:val="26"/>
        </w:rPr>
        <w:t xml:space="preserve">1. </w:t>
      </w:r>
      <w:r w:rsidR="00053623" w:rsidRPr="00053623">
        <w:rPr>
          <w:sz w:val="28"/>
          <w:szCs w:val="26"/>
        </w:rPr>
        <w:t>Внести в постановление администрации Калининского мун</w:t>
      </w:r>
      <w:r>
        <w:rPr>
          <w:sz w:val="28"/>
          <w:szCs w:val="26"/>
        </w:rPr>
        <w:t>иципального района Саратовской области от 17.12.2018 года</w:t>
      </w:r>
      <w:r w:rsidR="00053623" w:rsidRPr="00053623">
        <w:rPr>
          <w:sz w:val="28"/>
          <w:szCs w:val="26"/>
        </w:rPr>
        <w:t xml:space="preserve"> № 1427 «Об утверждении муниципаль</w:t>
      </w:r>
      <w:r>
        <w:rPr>
          <w:sz w:val="28"/>
          <w:szCs w:val="26"/>
        </w:rPr>
        <w:t>ной программы</w:t>
      </w:r>
      <w:r w:rsidR="00053623" w:rsidRPr="00053623">
        <w:rPr>
          <w:sz w:val="28"/>
          <w:szCs w:val="26"/>
        </w:rPr>
        <w:t xml:space="preserve"> «Укрепление и содержание материально-технической базы администрации Калининского муниц</w:t>
      </w:r>
      <w:r>
        <w:rPr>
          <w:sz w:val="28"/>
          <w:szCs w:val="26"/>
        </w:rPr>
        <w:t>ипального района на 2019-2021 г</w:t>
      </w:r>
      <w:r w:rsidR="00053623" w:rsidRPr="00053623">
        <w:rPr>
          <w:sz w:val="28"/>
          <w:szCs w:val="26"/>
        </w:rPr>
        <w:t>г.»</w:t>
      </w:r>
      <w:r>
        <w:rPr>
          <w:sz w:val="28"/>
          <w:szCs w:val="26"/>
        </w:rPr>
        <w:t xml:space="preserve"> (с изменениями от 25.02.2019 года № 244, от 27.08.2019 года</w:t>
      </w:r>
      <w:r w:rsidR="00053623" w:rsidRPr="00053623">
        <w:rPr>
          <w:sz w:val="28"/>
          <w:szCs w:val="26"/>
        </w:rPr>
        <w:t xml:space="preserve"> № </w:t>
      </w:r>
      <w:r>
        <w:rPr>
          <w:sz w:val="28"/>
          <w:szCs w:val="26"/>
        </w:rPr>
        <w:lastRenderedPageBreak/>
        <w:t>1137, от 12.09.2019 года № 1210, от 10.10.2019 года</w:t>
      </w:r>
      <w:r w:rsidR="00053623" w:rsidRPr="00053623">
        <w:rPr>
          <w:sz w:val="28"/>
          <w:szCs w:val="26"/>
        </w:rPr>
        <w:t xml:space="preserve"> № 1363, от 31</w:t>
      </w:r>
      <w:r>
        <w:rPr>
          <w:sz w:val="28"/>
          <w:szCs w:val="26"/>
        </w:rPr>
        <w:t>.12.2019 года № 1793, от 05.03.2020 года</w:t>
      </w:r>
      <w:r w:rsidR="00053623" w:rsidRPr="00053623">
        <w:rPr>
          <w:sz w:val="28"/>
          <w:szCs w:val="26"/>
        </w:rPr>
        <w:t xml:space="preserve"> № 226, от 16.06.2020 г</w:t>
      </w:r>
      <w:r>
        <w:rPr>
          <w:sz w:val="28"/>
          <w:szCs w:val="26"/>
        </w:rPr>
        <w:t>ода № 551, от 11.08.2020 года № 782, от 28.10.2020 года</w:t>
      </w:r>
      <w:r w:rsidR="00053623" w:rsidRPr="00053623">
        <w:rPr>
          <w:sz w:val="28"/>
          <w:szCs w:val="26"/>
        </w:rPr>
        <w:t xml:space="preserve"> № 1069, от </w:t>
      </w:r>
      <w:r>
        <w:rPr>
          <w:sz w:val="28"/>
          <w:szCs w:val="26"/>
        </w:rPr>
        <w:t>04.12.2020 года № 1254, от 30.12.2020 года</w:t>
      </w:r>
      <w:r w:rsidR="00053623" w:rsidRPr="00053623">
        <w:rPr>
          <w:sz w:val="28"/>
          <w:szCs w:val="26"/>
        </w:rPr>
        <w:t xml:space="preserve"> № 1400,</w:t>
      </w:r>
      <w:r w:rsidR="00053623" w:rsidRPr="00053623">
        <w:rPr>
          <w:color w:val="000000"/>
          <w:sz w:val="28"/>
          <w:szCs w:val="26"/>
        </w:rPr>
        <w:t xml:space="preserve"> </w:t>
      </w:r>
      <w:r>
        <w:rPr>
          <w:bCs/>
          <w:color w:val="000000"/>
          <w:sz w:val="28"/>
          <w:szCs w:val="26"/>
        </w:rPr>
        <w:t>от 19.02.2021 года № 172, от 25.11.2021 года</w:t>
      </w:r>
      <w:r w:rsidR="00053623" w:rsidRPr="00053623">
        <w:rPr>
          <w:bCs/>
          <w:color w:val="000000"/>
          <w:sz w:val="28"/>
          <w:szCs w:val="26"/>
        </w:rPr>
        <w:t xml:space="preserve"> № 1406</w:t>
      </w:r>
      <w:r w:rsidR="00053623" w:rsidRPr="00053623">
        <w:rPr>
          <w:sz w:val="28"/>
          <w:szCs w:val="26"/>
        </w:rPr>
        <w:t>) следующие изменения: п. 6 приложения к постановлению изложить в новой редакции, согласно приложению.</w:t>
      </w:r>
    </w:p>
    <w:p w:rsidR="00053623" w:rsidRPr="00053623" w:rsidRDefault="00053623" w:rsidP="00053623">
      <w:pPr>
        <w:ind w:firstLine="567"/>
        <w:jc w:val="both"/>
        <w:rPr>
          <w:sz w:val="28"/>
          <w:szCs w:val="26"/>
        </w:rPr>
      </w:pPr>
      <w:bookmarkStart w:id="1" w:name="sub_6"/>
      <w:bookmarkEnd w:id="0"/>
      <w:r w:rsidRPr="00053623">
        <w:rPr>
          <w:sz w:val="28"/>
          <w:szCs w:val="26"/>
        </w:rPr>
        <w:t>2. Начальнику управления п</w:t>
      </w:r>
      <w:r w:rsidR="00216C39">
        <w:rPr>
          <w:sz w:val="28"/>
          <w:szCs w:val="26"/>
        </w:rPr>
        <w:t>о вопросам культуры, информации</w:t>
      </w:r>
      <w:r w:rsidRPr="00053623">
        <w:rPr>
          <w:sz w:val="28"/>
          <w:szCs w:val="26"/>
        </w:rPr>
        <w:t xml:space="preserve"> и общественных отно</w:t>
      </w:r>
      <w:r w:rsidR="00216C39">
        <w:rPr>
          <w:sz w:val="28"/>
          <w:szCs w:val="26"/>
        </w:rPr>
        <w:t xml:space="preserve">шений администрации муниципального района </w:t>
      </w:r>
      <w:r w:rsidRPr="00053623">
        <w:rPr>
          <w:sz w:val="28"/>
          <w:szCs w:val="26"/>
        </w:rPr>
        <w:t xml:space="preserve">Тарановой </w:t>
      </w:r>
      <w:r w:rsidR="0014067B">
        <w:rPr>
          <w:sz w:val="28"/>
          <w:szCs w:val="26"/>
        </w:rPr>
        <w:t xml:space="preserve">Н.Г. </w:t>
      </w:r>
      <w:r w:rsidRPr="00053623">
        <w:rPr>
          <w:sz w:val="28"/>
          <w:szCs w:val="26"/>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53623" w:rsidRPr="00053623" w:rsidRDefault="00053623" w:rsidP="00053623">
      <w:pPr>
        <w:ind w:firstLine="567"/>
        <w:jc w:val="both"/>
        <w:rPr>
          <w:sz w:val="28"/>
          <w:szCs w:val="26"/>
        </w:rPr>
      </w:pPr>
      <w:r w:rsidRPr="00053623">
        <w:rPr>
          <w:sz w:val="28"/>
          <w:szCs w:val="26"/>
        </w:rPr>
        <w:t xml:space="preserve">3. Настоящее постановление вступает в силу с момента </w:t>
      </w:r>
      <w:r w:rsidR="00216C39">
        <w:rPr>
          <w:sz w:val="28"/>
          <w:szCs w:val="26"/>
        </w:rPr>
        <w:t xml:space="preserve">его </w:t>
      </w:r>
      <w:r w:rsidRPr="00053623">
        <w:rPr>
          <w:sz w:val="28"/>
          <w:szCs w:val="26"/>
        </w:rPr>
        <w:t>подписания.</w:t>
      </w:r>
      <w:bookmarkEnd w:id="1"/>
    </w:p>
    <w:p w:rsidR="00053623" w:rsidRPr="00053623" w:rsidRDefault="00053623" w:rsidP="00053623">
      <w:pPr>
        <w:ind w:firstLine="567"/>
        <w:jc w:val="both"/>
        <w:rPr>
          <w:sz w:val="28"/>
          <w:szCs w:val="26"/>
        </w:rPr>
      </w:pPr>
      <w:r w:rsidRPr="00053623">
        <w:rPr>
          <w:sz w:val="28"/>
          <w:szCs w:val="26"/>
        </w:rPr>
        <w:t>4. Контроль за исполнением настоящего постановления возложить на зам</w:t>
      </w:r>
      <w:r w:rsidR="0014067B">
        <w:rPr>
          <w:sz w:val="28"/>
          <w:szCs w:val="26"/>
        </w:rPr>
        <w:t>естителя главы администрации муниципального района</w:t>
      </w:r>
      <w:r w:rsidRPr="00053623">
        <w:rPr>
          <w:sz w:val="28"/>
          <w:szCs w:val="26"/>
        </w:rPr>
        <w:t xml:space="preserve"> по сельскому хозяйству и потребительско</w:t>
      </w:r>
      <w:r w:rsidR="0014067B">
        <w:rPr>
          <w:sz w:val="28"/>
          <w:szCs w:val="26"/>
        </w:rPr>
        <w:t>му рынку, начальника управления</w:t>
      </w:r>
      <w:r w:rsidRPr="00053623">
        <w:rPr>
          <w:sz w:val="28"/>
          <w:szCs w:val="26"/>
        </w:rPr>
        <w:t xml:space="preserve"> сельского </w:t>
      </w:r>
      <w:r w:rsidR="0014067B">
        <w:rPr>
          <w:sz w:val="28"/>
          <w:szCs w:val="26"/>
        </w:rPr>
        <w:t xml:space="preserve">хозяйства и продовольствия </w:t>
      </w:r>
      <w:r w:rsidRPr="00053623">
        <w:rPr>
          <w:sz w:val="28"/>
          <w:szCs w:val="26"/>
        </w:rPr>
        <w:t>Лобазову</w:t>
      </w:r>
      <w:r w:rsidR="0014067B">
        <w:rPr>
          <w:sz w:val="28"/>
          <w:szCs w:val="26"/>
        </w:rPr>
        <w:t xml:space="preserve"> М.В</w:t>
      </w:r>
      <w:r w:rsidRPr="00053623">
        <w:rPr>
          <w:sz w:val="28"/>
          <w:szCs w:val="26"/>
        </w:rPr>
        <w:t xml:space="preserve">. </w:t>
      </w:r>
    </w:p>
    <w:p w:rsidR="00B84226" w:rsidRDefault="00B84226" w:rsidP="00B84226">
      <w:pPr>
        <w:jc w:val="both"/>
        <w:rPr>
          <w:sz w:val="28"/>
          <w:szCs w:val="28"/>
        </w:rPr>
      </w:pPr>
    </w:p>
    <w:p w:rsidR="00B84226" w:rsidRDefault="00B84226" w:rsidP="00B84226">
      <w:pPr>
        <w:jc w:val="both"/>
        <w:rPr>
          <w:sz w:val="28"/>
          <w:szCs w:val="28"/>
        </w:rPr>
      </w:pPr>
    </w:p>
    <w:p w:rsidR="007063A3" w:rsidRPr="007063A3" w:rsidRDefault="007063A3"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31009E" w:rsidRDefault="0036514D" w:rsidP="00962DEC">
      <w:pPr>
        <w:sectPr w:rsidR="0031009E" w:rsidSect="00B84226">
          <w:pgSz w:w="11906" w:h="16838"/>
          <w:pgMar w:top="851" w:right="567" w:bottom="1134" w:left="1701" w:header="170" w:footer="0" w:gutter="0"/>
          <w:cols w:space="720"/>
          <w:docGrid w:linePitch="299"/>
        </w:sectPr>
      </w:pPr>
      <w:r>
        <w:t>И</w:t>
      </w:r>
      <w:r w:rsidR="0079595B">
        <w:t>с</w:t>
      </w:r>
      <w:r w:rsidR="001821E5" w:rsidRPr="00F77DCF">
        <w:t>п.</w:t>
      </w:r>
      <w:r w:rsidR="005D239F">
        <w:t>:</w:t>
      </w:r>
      <w:r w:rsidR="001B22EF">
        <w:t xml:space="preserve"> </w:t>
      </w:r>
      <w:r w:rsidR="00053623">
        <w:t>Шагалова Е.В.</w:t>
      </w:r>
    </w:p>
    <w:p w:rsidR="0031009E" w:rsidRDefault="0014067B" w:rsidP="0031009E">
      <w:pPr>
        <w:ind w:left="11340"/>
        <w:rPr>
          <w:b/>
          <w:sz w:val="28"/>
          <w:szCs w:val="28"/>
        </w:rPr>
      </w:pPr>
      <w:r w:rsidRPr="0031009E">
        <w:rPr>
          <w:b/>
          <w:sz w:val="28"/>
          <w:szCs w:val="28"/>
        </w:rPr>
        <w:lastRenderedPageBreak/>
        <w:t xml:space="preserve">Приложение </w:t>
      </w:r>
    </w:p>
    <w:p w:rsidR="0014067B" w:rsidRPr="0031009E" w:rsidRDefault="0014067B" w:rsidP="0031009E">
      <w:pPr>
        <w:ind w:left="11340"/>
        <w:rPr>
          <w:b/>
          <w:sz w:val="28"/>
          <w:szCs w:val="28"/>
        </w:rPr>
      </w:pPr>
      <w:r w:rsidRPr="0031009E">
        <w:rPr>
          <w:b/>
          <w:sz w:val="28"/>
          <w:szCs w:val="28"/>
        </w:rPr>
        <w:t xml:space="preserve">к постановлению </w:t>
      </w:r>
    </w:p>
    <w:p w:rsidR="0014067B" w:rsidRPr="0031009E" w:rsidRDefault="0014067B" w:rsidP="0031009E">
      <w:pPr>
        <w:ind w:left="11340"/>
        <w:rPr>
          <w:b/>
          <w:sz w:val="28"/>
          <w:szCs w:val="28"/>
        </w:rPr>
      </w:pPr>
      <w:r w:rsidRPr="0031009E">
        <w:rPr>
          <w:b/>
          <w:sz w:val="28"/>
          <w:szCs w:val="28"/>
        </w:rPr>
        <w:t xml:space="preserve">администрации МР </w:t>
      </w:r>
    </w:p>
    <w:p w:rsidR="0014067B" w:rsidRPr="0031009E" w:rsidRDefault="0031009E" w:rsidP="0031009E">
      <w:pPr>
        <w:ind w:left="11340"/>
        <w:rPr>
          <w:b/>
          <w:sz w:val="28"/>
          <w:szCs w:val="28"/>
        </w:rPr>
      </w:pPr>
      <w:r>
        <w:rPr>
          <w:b/>
          <w:sz w:val="28"/>
          <w:szCs w:val="28"/>
        </w:rPr>
        <w:t>от 14.12.2021 года № 1515</w:t>
      </w:r>
    </w:p>
    <w:p w:rsidR="0014067B" w:rsidRPr="0031009E" w:rsidRDefault="0014067B" w:rsidP="0014067B">
      <w:pPr>
        <w:jc w:val="center"/>
        <w:rPr>
          <w:b/>
          <w:bCs/>
          <w:sz w:val="28"/>
          <w:szCs w:val="28"/>
        </w:rPr>
      </w:pPr>
    </w:p>
    <w:p w:rsidR="0014067B" w:rsidRPr="003962BD" w:rsidRDefault="0014067B" w:rsidP="0014067B">
      <w:pPr>
        <w:jc w:val="center"/>
        <w:rPr>
          <w:b/>
          <w:bCs/>
          <w:sz w:val="28"/>
          <w:szCs w:val="28"/>
        </w:rPr>
      </w:pPr>
      <w:r>
        <w:rPr>
          <w:b/>
          <w:bCs/>
          <w:sz w:val="28"/>
          <w:szCs w:val="28"/>
        </w:rPr>
        <w:t xml:space="preserve">6. </w:t>
      </w:r>
      <w:r w:rsidRPr="003962BD">
        <w:rPr>
          <w:b/>
          <w:bCs/>
          <w:sz w:val="28"/>
          <w:szCs w:val="28"/>
        </w:rPr>
        <w:t>Перечень программных мероприятий муниципальной программы</w:t>
      </w:r>
    </w:p>
    <w:p w:rsidR="0031009E" w:rsidRDefault="0014067B" w:rsidP="0014067B">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 xml:space="preserve">администрации </w:t>
      </w:r>
    </w:p>
    <w:p w:rsidR="0014067B" w:rsidRDefault="0014067B" w:rsidP="0014067B">
      <w:pPr>
        <w:jc w:val="center"/>
        <w:rPr>
          <w:b/>
          <w:bCs/>
          <w:sz w:val="28"/>
          <w:szCs w:val="28"/>
        </w:rPr>
      </w:pPr>
      <w:r w:rsidRPr="003962BD">
        <w:rPr>
          <w:b/>
          <w:bCs/>
          <w:sz w:val="28"/>
          <w:szCs w:val="28"/>
        </w:rPr>
        <w:t xml:space="preserve">Калининского </w:t>
      </w:r>
      <w:r w:rsidR="0031009E">
        <w:rPr>
          <w:b/>
          <w:bCs/>
          <w:sz w:val="28"/>
          <w:szCs w:val="28"/>
        </w:rPr>
        <w:t>муниципального района на 2019-</w:t>
      </w:r>
      <w:r w:rsidRPr="003962BD">
        <w:rPr>
          <w:b/>
          <w:bCs/>
          <w:sz w:val="28"/>
          <w:szCs w:val="28"/>
        </w:rPr>
        <w:t xml:space="preserve">2021 </w:t>
      </w:r>
      <w:r w:rsidR="0031009E">
        <w:rPr>
          <w:b/>
          <w:bCs/>
          <w:sz w:val="28"/>
          <w:szCs w:val="28"/>
        </w:rPr>
        <w:t>г</w:t>
      </w:r>
      <w:r w:rsidRPr="003962BD">
        <w:rPr>
          <w:b/>
          <w:bCs/>
          <w:sz w:val="28"/>
          <w:szCs w:val="28"/>
        </w:rPr>
        <w:t>г.»</w:t>
      </w:r>
    </w:p>
    <w:p w:rsidR="0014067B" w:rsidRDefault="0014067B" w:rsidP="0014067B">
      <w:pPr>
        <w:jc w:val="center"/>
        <w:rPr>
          <w:b/>
          <w:bCs/>
          <w:sz w:val="28"/>
          <w:szCs w:val="28"/>
        </w:rPr>
      </w:pPr>
    </w:p>
    <w:tbl>
      <w:tblPr>
        <w:tblW w:w="160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1417"/>
        <w:gridCol w:w="1701"/>
        <w:gridCol w:w="1276"/>
        <w:gridCol w:w="1701"/>
        <w:gridCol w:w="1276"/>
        <w:gridCol w:w="1559"/>
        <w:gridCol w:w="1134"/>
        <w:gridCol w:w="2018"/>
      </w:tblGrid>
      <w:tr w:rsidR="00122AE6" w:rsidRPr="00FC62B6" w:rsidTr="00122AE6">
        <w:trPr>
          <w:trHeight w:val="555"/>
        </w:trPr>
        <w:tc>
          <w:tcPr>
            <w:tcW w:w="567" w:type="dxa"/>
            <w:vMerge w:val="restart"/>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w:t>
            </w:r>
          </w:p>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п/п</w:t>
            </w:r>
          </w:p>
        </w:tc>
        <w:tc>
          <w:tcPr>
            <w:tcW w:w="1985" w:type="dxa"/>
            <w:vMerge w:val="restart"/>
          </w:tcPr>
          <w:p w:rsidR="0014067B" w:rsidRPr="00122AE6" w:rsidRDefault="0014067B" w:rsidP="001D3852">
            <w:pPr>
              <w:pStyle w:val="ac"/>
              <w:jc w:val="center"/>
              <w:rPr>
                <w:rFonts w:ascii="Times New Roman" w:hAnsi="Times New Roman" w:cs="Times New Roman"/>
                <w:sz w:val="22"/>
                <w:szCs w:val="22"/>
              </w:rPr>
            </w:pPr>
            <w:r w:rsidRPr="00122AE6">
              <w:rPr>
                <w:rFonts w:ascii="Times New Roman" w:hAnsi="Times New Roman" w:cs="Times New Roman"/>
                <w:sz w:val="22"/>
                <w:szCs w:val="22"/>
              </w:rPr>
              <w:t>Наименование</w:t>
            </w:r>
          </w:p>
          <w:p w:rsidR="0014067B" w:rsidRPr="00122AE6" w:rsidRDefault="0014067B" w:rsidP="001D3852">
            <w:pPr>
              <w:jc w:val="center"/>
              <w:rPr>
                <w:sz w:val="22"/>
                <w:szCs w:val="22"/>
              </w:rPr>
            </w:pPr>
            <w:r w:rsidRPr="00122AE6">
              <w:rPr>
                <w:sz w:val="22"/>
                <w:szCs w:val="22"/>
              </w:rPr>
              <w:t>мероприятия программы</w:t>
            </w:r>
          </w:p>
        </w:tc>
        <w:tc>
          <w:tcPr>
            <w:tcW w:w="1418" w:type="dxa"/>
            <w:vMerge w:val="restart"/>
          </w:tcPr>
          <w:p w:rsidR="0014067B" w:rsidRPr="00122AE6" w:rsidRDefault="0014067B" w:rsidP="001D3852">
            <w:pPr>
              <w:pStyle w:val="ac"/>
              <w:jc w:val="center"/>
              <w:rPr>
                <w:rFonts w:ascii="Times New Roman" w:hAnsi="Times New Roman" w:cs="Times New Roman"/>
                <w:sz w:val="22"/>
                <w:szCs w:val="22"/>
              </w:rPr>
            </w:pPr>
            <w:r w:rsidRPr="00122AE6">
              <w:rPr>
                <w:rFonts w:ascii="Times New Roman" w:hAnsi="Times New Roman" w:cs="Times New Roman"/>
                <w:sz w:val="22"/>
                <w:szCs w:val="22"/>
              </w:rPr>
              <w:t>Срок исполнения</w:t>
            </w:r>
          </w:p>
        </w:tc>
        <w:tc>
          <w:tcPr>
            <w:tcW w:w="1417" w:type="dxa"/>
            <w:vMerge w:val="restart"/>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Общий объем финансирования, тыс. руб.</w:t>
            </w:r>
          </w:p>
        </w:tc>
        <w:tc>
          <w:tcPr>
            <w:tcW w:w="2977" w:type="dxa"/>
            <w:gridSpan w:val="2"/>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2019 год</w:t>
            </w:r>
          </w:p>
        </w:tc>
        <w:tc>
          <w:tcPr>
            <w:tcW w:w="2977" w:type="dxa"/>
            <w:gridSpan w:val="2"/>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2020 год</w:t>
            </w:r>
          </w:p>
        </w:tc>
        <w:tc>
          <w:tcPr>
            <w:tcW w:w="2693" w:type="dxa"/>
            <w:gridSpan w:val="2"/>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2021 год</w:t>
            </w:r>
          </w:p>
        </w:tc>
        <w:tc>
          <w:tcPr>
            <w:tcW w:w="2018" w:type="dxa"/>
            <w:vMerge w:val="restart"/>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Ответственный за исполнение</w:t>
            </w:r>
          </w:p>
        </w:tc>
      </w:tr>
      <w:tr w:rsidR="00122AE6" w:rsidRPr="00FC62B6" w:rsidTr="00122AE6">
        <w:trPr>
          <w:trHeight w:val="555"/>
        </w:trPr>
        <w:tc>
          <w:tcPr>
            <w:tcW w:w="567" w:type="dxa"/>
            <w:vMerge/>
          </w:tcPr>
          <w:p w:rsidR="0014067B" w:rsidRPr="00122AE6" w:rsidRDefault="0014067B" w:rsidP="00892CAF">
            <w:pPr>
              <w:pStyle w:val="ac"/>
              <w:rPr>
                <w:rFonts w:ascii="Times New Roman" w:hAnsi="Times New Roman" w:cs="Times New Roman"/>
                <w:sz w:val="22"/>
                <w:szCs w:val="22"/>
              </w:rPr>
            </w:pPr>
          </w:p>
        </w:tc>
        <w:tc>
          <w:tcPr>
            <w:tcW w:w="1985" w:type="dxa"/>
            <w:vMerge/>
          </w:tcPr>
          <w:p w:rsidR="0014067B" w:rsidRPr="00122AE6" w:rsidRDefault="0014067B" w:rsidP="00892CAF">
            <w:pPr>
              <w:pStyle w:val="ac"/>
              <w:ind w:left="602"/>
              <w:rPr>
                <w:rFonts w:ascii="Times New Roman" w:hAnsi="Times New Roman" w:cs="Times New Roman"/>
                <w:sz w:val="22"/>
                <w:szCs w:val="22"/>
              </w:rPr>
            </w:pP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vMerge/>
          </w:tcPr>
          <w:p w:rsidR="0014067B" w:rsidRPr="00122AE6" w:rsidRDefault="0014067B" w:rsidP="00892CAF">
            <w:pPr>
              <w:pStyle w:val="ac"/>
              <w:rPr>
                <w:rFonts w:ascii="Times New Roman" w:hAnsi="Times New Roman" w:cs="Times New Roman"/>
                <w:sz w:val="22"/>
                <w:szCs w:val="22"/>
              </w:rPr>
            </w:pPr>
          </w:p>
        </w:tc>
        <w:tc>
          <w:tcPr>
            <w:tcW w:w="1701" w:type="dxa"/>
            <w:tcBorders>
              <w:right w:val="single" w:sz="4" w:space="0" w:color="auto"/>
            </w:tcBorders>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Иные межбюджетные трансферты бюджетам МР области</w:t>
            </w:r>
          </w:p>
        </w:tc>
        <w:tc>
          <w:tcPr>
            <w:tcW w:w="1276" w:type="dxa"/>
            <w:tcBorders>
              <w:left w:val="single" w:sz="4" w:space="0" w:color="auto"/>
            </w:tcBorders>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Местный бюджет</w:t>
            </w:r>
          </w:p>
          <w:p w:rsidR="0014067B" w:rsidRPr="00122AE6" w:rsidRDefault="0014067B" w:rsidP="00122AE6">
            <w:pPr>
              <w:pStyle w:val="ac"/>
              <w:jc w:val="center"/>
              <w:rPr>
                <w:rFonts w:ascii="Times New Roman" w:hAnsi="Times New Roman" w:cs="Times New Roman"/>
                <w:sz w:val="22"/>
                <w:szCs w:val="22"/>
              </w:rPr>
            </w:pPr>
          </w:p>
        </w:tc>
        <w:tc>
          <w:tcPr>
            <w:tcW w:w="1701" w:type="dxa"/>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Иные межбюджетные трансферты бюджетам МР области</w:t>
            </w:r>
          </w:p>
        </w:tc>
        <w:tc>
          <w:tcPr>
            <w:tcW w:w="1276" w:type="dxa"/>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Местный бюджет</w:t>
            </w:r>
          </w:p>
          <w:p w:rsidR="0014067B" w:rsidRPr="00122AE6" w:rsidRDefault="0014067B" w:rsidP="00122AE6">
            <w:pPr>
              <w:pStyle w:val="ac"/>
              <w:jc w:val="center"/>
              <w:rPr>
                <w:rFonts w:ascii="Times New Roman" w:hAnsi="Times New Roman" w:cs="Times New Roman"/>
                <w:sz w:val="22"/>
                <w:szCs w:val="22"/>
              </w:rPr>
            </w:pPr>
          </w:p>
        </w:tc>
        <w:tc>
          <w:tcPr>
            <w:tcW w:w="1559" w:type="dxa"/>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Иные межбюджетные трансферты бюджетам МР области (прогнозно)</w:t>
            </w:r>
          </w:p>
        </w:tc>
        <w:tc>
          <w:tcPr>
            <w:tcW w:w="1134" w:type="dxa"/>
          </w:tcPr>
          <w:p w:rsidR="0014067B" w:rsidRPr="00122AE6" w:rsidRDefault="0014067B" w:rsidP="00122AE6">
            <w:pPr>
              <w:pStyle w:val="ac"/>
              <w:jc w:val="center"/>
              <w:rPr>
                <w:rFonts w:ascii="Times New Roman" w:hAnsi="Times New Roman" w:cs="Times New Roman"/>
                <w:sz w:val="22"/>
                <w:szCs w:val="22"/>
              </w:rPr>
            </w:pPr>
            <w:r w:rsidRPr="00122AE6">
              <w:rPr>
                <w:rFonts w:ascii="Times New Roman" w:hAnsi="Times New Roman" w:cs="Times New Roman"/>
                <w:sz w:val="22"/>
                <w:szCs w:val="22"/>
              </w:rPr>
              <w:t>Местный бюджет</w:t>
            </w:r>
          </w:p>
          <w:p w:rsidR="0014067B" w:rsidRPr="00122AE6" w:rsidRDefault="0014067B" w:rsidP="00122AE6">
            <w:pPr>
              <w:jc w:val="center"/>
              <w:rPr>
                <w:sz w:val="22"/>
                <w:szCs w:val="22"/>
              </w:rPr>
            </w:pPr>
          </w:p>
          <w:p w:rsidR="0014067B" w:rsidRPr="00122AE6" w:rsidRDefault="0014067B" w:rsidP="00122AE6">
            <w:pPr>
              <w:pStyle w:val="ac"/>
              <w:jc w:val="center"/>
              <w:rPr>
                <w:rFonts w:ascii="Times New Roman" w:hAnsi="Times New Roman" w:cs="Times New Roman"/>
                <w:sz w:val="22"/>
                <w:szCs w:val="22"/>
              </w:rPr>
            </w:pPr>
          </w:p>
        </w:tc>
        <w:tc>
          <w:tcPr>
            <w:tcW w:w="2018" w:type="dxa"/>
            <w:vMerge/>
          </w:tcPr>
          <w:p w:rsidR="0014067B" w:rsidRPr="00122AE6" w:rsidRDefault="0014067B" w:rsidP="00892CAF">
            <w:pPr>
              <w:pStyle w:val="ac"/>
              <w:rPr>
                <w:rFonts w:ascii="Times New Roman" w:hAnsi="Times New Roman" w:cs="Times New Roman"/>
                <w:sz w:val="22"/>
                <w:szCs w:val="22"/>
              </w:rPr>
            </w:pP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 xml:space="preserve">1. </w:t>
            </w:r>
          </w:p>
        </w:tc>
        <w:tc>
          <w:tcPr>
            <w:tcW w:w="1985" w:type="dxa"/>
          </w:tcPr>
          <w:p w:rsidR="0014067B" w:rsidRPr="00122AE6" w:rsidRDefault="0014067B" w:rsidP="00122AE6">
            <w:pPr>
              <w:pStyle w:val="ac"/>
              <w:rPr>
                <w:rFonts w:ascii="Times New Roman" w:hAnsi="Times New Roman" w:cs="Times New Roman"/>
                <w:sz w:val="22"/>
                <w:szCs w:val="22"/>
              </w:rPr>
            </w:pPr>
            <w:r w:rsidRPr="00122AE6">
              <w:rPr>
                <w:rFonts w:ascii="Times New Roman" w:hAnsi="Times New Roman" w:cs="Times New Roman"/>
                <w:sz w:val="22"/>
                <w:szCs w:val="22"/>
              </w:rPr>
              <w:t>-</w:t>
            </w:r>
            <w:r w:rsidR="006E4577">
              <w:rPr>
                <w:rFonts w:ascii="Times New Roman" w:hAnsi="Times New Roman" w:cs="Times New Roman"/>
                <w:sz w:val="22"/>
                <w:szCs w:val="22"/>
              </w:rPr>
              <w:t xml:space="preserve"> </w:t>
            </w:r>
            <w:r w:rsidRPr="00122AE6">
              <w:rPr>
                <w:rFonts w:ascii="Times New Roman" w:hAnsi="Times New Roman" w:cs="Times New Roman"/>
                <w:sz w:val="22"/>
                <w:szCs w:val="22"/>
              </w:rPr>
              <w:t>прочие</w:t>
            </w:r>
            <w:r w:rsidR="00122AE6" w:rsidRPr="00122AE6">
              <w:rPr>
                <w:rFonts w:ascii="Times New Roman" w:hAnsi="Times New Roman" w:cs="Times New Roman"/>
                <w:sz w:val="22"/>
                <w:szCs w:val="22"/>
              </w:rPr>
              <w:t xml:space="preserve"> работы, </w:t>
            </w:r>
            <w:r w:rsidRPr="00122AE6">
              <w:rPr>
                <w:rFonts w:ascii="Times New Roman" w:hAnsi="Times New Roman" w:cs="Times New Roman"/>
                <w:sz w:val="22"/>
                <w:szCs w:val="22"/>
              </w:rPr>
              <w:t>услуги</w:t>
            </w:r>
          </w:p>
        </w:tc>
        <w:tc>
          <w:tcPr>
            <w:tcW w:w="1418" w:type="dxa"/>
            <w:vMerge w:val="restart"/>
          </w:tcPr>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p>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2019-2021</w:t>
            </w: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285,6</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84,7</w:t>
            </w: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0,9</w:t>
            </w: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200</w:t>
            </w:r>
          </w:p>
        </w:tc>
        <w:tc>
          <w:tcPr>
            <w:tcW w:w="2018" w:type="dxa"/>
          </w:tcPr>
          <w:p w:rsidR="0014067B" w:rsidRPr="00122AE6" w:rsidRDefault="0014067B" w:rsidP="00892CAF">
            <w:pPr>
              <w:rPr>
                <w:sz w:val="22"/>
                <w:szCs w:val="22"/>
              </w:rPr>
            </w:pPr>
            <w:r w:rsidRPr="00122AE6">
              <w:rPr>
                <w:sz w:val="22"/>
                <w:szCs w:val="22"/>
              </w:rPr>
              <w:t>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2.</w:t>
            </w:r>
          </w:p>
        </w:tc>
        <w:tc>
          <w:tcPr>
            <w:tcW w:w="1985" w:type="dxa"/>
          </w:tcPr>
          <w:p w:rsidR="00122AE6" w:rsidRPr="00122AE6" w:rsidRDefault="0014067B" w:rsidP="00122AE6">
            <w:pPr>
              <w:jc w:val="both"/>
              <w:rPr>
                <w:bCs/>
                <w:sz w:val="22"/>
                <w:szCs w:val="22"/>
              </w:rPr>
            </w:pPr>
            <w:r w:rsidRPr="00122AE6">
              <w:rPr>
                <w:bCs/>
                <w:sz w:val="22"/>
                <w:szCs w:val="22"/>
              </w:rPr>
              <w:t xml:space="preserve">- иные выплаты текущего характера организациям </w:t>
            </w:r>
          </w:p>
          <w:p w:rsidR="0014067B" w:rsidRPr="00122AE6" w:rsidRDefault="0014067B" w:rsidP="00122AE6">
            <w:pPr>
              <w:jc w:val="both"/>
              <w:rPr>
                <w:sz w:val="22"/>
                <w:szCs w:val="22"/>
              </w:rPr>
            </w:pPr>
            <w:r w:rsidRPr="00122AE6">
              <w:rPr>
                <w:bCs/>
                <w:sz w:val="22"/>
                <w:szCs w:val="22"/>
              </w:rPr>
              <w:t>(взносы в Ассоциацию)</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320,88</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133,88</w:t>
            </w: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50,0</w:t>
            </w: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177</w:t>
            </w:r>
          </w:p>
        </w:tc>
        <w:tc>
          <w:tcPr>
            <w:tcW w:w="2018" w:type="dxa"/>
          </w:tcPr>
          <w:p w:rsidR="0014067B" w:rsidRPr="00122AE6" w:rsidRDefault="0014067B" w:rsidP="00892CAF">
            <w:pPr>
              <w:rPr>
                <w:sz w:val="22"/>
                <w:szCs w:val="22"/>
              </w:rPr>
            </w:pPr>
            <w:r w:rsidRPr="00122AE6">
              <w:rPr>
                <w:sz w:val="22"/>
                <w:szCs w:val="22"/>
              </w:rPr>
              <w:t>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3.</w:t>
            </w:r>
          </w:p>
        </w:tc>
        <w:tc>
          <w:tcPr>
            <w:tcW w:w="1985" w:type="dxa"/>
          </w:tcPr>
          <w:p w:rsidR="0014067B" w:rsidRPr="00122AE6" w:rsidRDefault="0014067B" w:rsidP="00122AE6">
            <w:pPr>
              <w:jc w:val="both"/>
              <w:rPr>
                <w:bCs/>
                <w:sz w:val="22"/>
                <w:szCs w:val="22"/>
              </w:rPr>
            </w:pPr>
            <w:r w:rsidRPr="00122AE6">
              <w:rPr>
                <w:bCs/>
                <w:sz w:val="22"/>
                <w:szCs w:val="22"/>
              </w:rPr>
              <w:t>- увеличение стоимости материальных запасов</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223,6</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123,6</w:t>
            </w: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60</w:t>
            </w:r>
          </w:p>
        </w:tc>
        <w:tc>
          <w:tcPr>
            <w:tcW w:w="2018" w:type="dxa"/>
          </w:tcPr>
          <w:p w:rsidR="0014067B" w:rsidRPr="00122AE6" w:rsidRDefault="0014067B" w:rsidP="00892CAF">
            <w:pPr>
              <w:rPr>
                <w:sz w:val="22"/>
                <w:szCs w:val="22"/>
              </w:rPr>
            </w:pPr>
            <w:r w:rsidRPr="00122AE6">
              <w:rPr>
                <w:sz w:val="22"/>
                <w:szCs w:val="22"/>
              </w:rPr>
              <w:t>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4.</w:t>
            </w:r>
          </w:p>
        </w:tc>
        <w:tc>
          <w:tcPr>
            <w:tcW w:w="1985" w:type="dxa"/>
          </w:tcPr>
          <w:p w:rsidR="0014067B" w:rsidRPr="00122AE6" w:rsidRDefault="0014067B" w:rsidP="00122AE6">
            <w:pPr>
              <w:jc w:val="both"/>
              <w:rPr>
                <w:bCs/>
                <w:sz w:val="22"/>
                <w:szCs w:val="22"/>
              </w:rPr>
            </w:pPr>
            <w:r w:rsidRPr="00122AE6">
              <w:rPr>
                <w:bCs/>
                <w:sz w:val="22"/>
                <w:szCs w:val="22"/>
              </w:rPr>
              <w:t>-</w:t>
            </w:r>
            <w:r w:rsidR="00122AE6" w:rsidRPr="00122AE6">
              <w:rPr>
                <w:bCs/>
                <w:sz w:val="22"/>
                <w:szCs w:val="22"/>
              </w:rPr>
              <w:t xml:space="preserve"> </w:t>
            </w:r>
            <w:r w:rsidRPr="00122AE6">
              <w:rPr>
                <w:bCs/>
                <w:sz w:val="22"/>
                <w:szCs w:val="22"/>
              </w:rPr>
              <w:t xml:space="preserve">уплата налогов, </w:t>
            </w:r>
            <w:r w:rsidRPr="00122AE6">
              <w:rPr>
                <w:bCs/>
                <w:sz w:val="22"/>
                <w:szCs w:val="22"/>
              </w:rPr>
              <w:lastRenderedPageBreak/>
              <w:t>пошлин и сборов</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31,22</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15,12</w:t>
            </w: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16,1</w:t>
            </w: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p>
        </w:tc>
        <w:tc>
          <w:tcPr>
            <w:tcW w:w="2018" w:type="dxa"/>
          </w:tcPr>
          <w:p w:rsidR="0014067B" w:rsidRPr="00122AE6" w:rsidRDefault="0014067B" w:rsidP="00892CAF">
            <w:pPr>
              <w:rPr>
                <w:sz w:val="22"/>
                <w:szCs w:val="22"/>
              </w:rPr>
            </w:pPr>
            <w:r w:rsidRPr="00122AE6">
              <w:rPr>
                <w:sz w:val="22"/>
                <w:szCs w:val="22"/>
              </w:rPr>
              <w:t xml:space="preserve">МБУ «ЦБ </w:t>
            </w:r>
            <w:r w:rsidRPr="00122AE6">
              <w:rPr>
                <w:sz w:val="22"/>
                <w:szCs w:val="22"/>
              </w:rPr>
              <w:lastRenderedPageBreak/>
              <w:t>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lastRenderedPageBreak/>
              <w:t>5.</w:t>
            </w:r>
          </w:p>
        </w:tc>
        <w:tc>
          <w:tcPr>
            <w:tcW w:w="1985" w:type="dxa"/>
          </w:tcPr>
          <w:p w:rsidR="0014067B" w:rsidRPr="00122AE6" w:rsidRDefault="0014067B" w:rsidP="00122AE6">
            <w:pPr>
              <w:jc w:val="both"/>
              <w:rPr>
                <w:sz w:val="22"/>
                <w:szCs w:val="22"/>
              </w:rPr>
            </w:pPr>
            <w:r w:rsidRPr="00122AE6">
              <w:rPr>
                <w:sz w:val="22"/>
                <w:szCs w:val="22"/>
              </w:rPr>
              <w:t>-</w:t>
            </w:r>
            <w:r w:rsidR="00122AE6" w:rsidRPr="00122AE6">
              <w:rPr>
                <w:sz w:val="22"/>
                <w:szCs w:val="22"/>
              </w:rPr>
              <w:t xml:space="preserve"> </w:t>
            </w:r>
            <w:r w:rsidRPr="00122AE6">
              <w:rPr>
                <w:sz w:val="22"/>
                <w:szCs w:val="22"/>
              </w:rPr>
              <w:t>размещение социально значимой информации в печатных СМИ, учрежденных органами местного самоуправления</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336,3</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336,3</w:t>
            </w:r>
          </w:p>
        </w:tc>
        <w:tc>
          <w:tcPr>
            <w:tcW w:w="1276" w:type="dxa"/>
          </w:tcPr>
          <w:p w:rsidR="0014067B" w:rsidRPr="00122AE6" w:rsidRDefault="0014067B" w:rsidP="00892CAF">
            <w:pPr>
              <w:pStyle w:val="ac"/>
              <w:jc w:val="center"/>
              <w:rPr>
                <w:rFonts w:ascii="Times New Roman" w:hAnsi="Times New Roman" w:cs="Times New Roman"/>
                <w:sz w:val="22"/>
                <w:szCs w:val="22"/>
              </w:rPr>
            </w:pP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p>
        </w:tc>
        <w:tc>
          <w:tcPr>
            <w:tcW w:w="2018" w:type="dxa"/>
          </w:tcPr>
          <w:p w:rsidR="0014067B" w:rsidRPr="00122AE6" w:rsidRDefault="0014067B" w:rsidP="00892CAF">
            <w:pPr>
              <w:pStyle w:val="ac"/>
              <w:jc w:val="left"/>
              <w:rPr>
                <w:rFonts w:ascii="Times New Roman" w:hAnsi="Times New Roman" w:cs="Times New Roman"/>
                <w:sz w:val="22"/>
                <w:szCs w:val="22"/>
              </w:rPr>
            </w:pPr>
            <w:r w:rsidRPr="00122AE6">
              <w:rPr>
                <w:rFonts w:ascii="Times New Roman" w:hAnsi="Times New Roman" w:cs="Times New Roman"/>
                <w:sz w:val="22"/>
                <w:szCs w:val="22"/>
              </w:rPr>
              <w:t>МУП «Редакция газеты «Народная трибуна», 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6.</w:t>
            </w:r>
          </w:p>
        </w:tc>
        <w:tc>
          <w:tcPr>
            <w:tcW w:w="1985" w:type="dxa"/>
          </w:tcPr>
          <w:p w:rsidR="0014067B" w:rsidRPr="00122AE6" w:rsidRDefault="0014067B" w:rsidP="00122AE6">
            <w:pPr>
              <w:jc w:val="both"/>
              <w:rPr>
                <w:sz w:val="22"/>
                <w:szCs w:val="22"/>
              </w:rPr>
            </w:pPr>
            <w:r w:rsidRPr="00122AE6">
              <w:rPr>
                <w:sz w:val="22"/>
                <w:szCs w:val="22"/>
              </w:rPr>
              <w:t>Погашение кредиторской задолженности прошлых лет (взносы в Ассоциацию СМО)</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136,6</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p>
        </w:tc>
        <w:tc>
          <w:tcPr>
            <w:tcW w:w="1701" w:type="dxa"/>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73,6</w:t>
            </w:r>
          </w:p>
        </w:tc>
        <w:tc>
          <w:tcPr>
            <w:tcW w:w="1559" w:type="dxa"/>
          </w:tcPr>
          <w:p w:rsidR="0014067B" w:rsidRPr="00122AE6" w:rsidRDefault="0014067B" w:rsidP="00892CAF">
            <w:pPr>
              <w:pStyle w:val="ac"/>
              <w:jc w:val="center"/>
              <w:rPr>
                <w:rFonts w:ascii="Times New Roman" w:hAnsi="Times New Roman" w:cs="Times New Roman"/>
                <w:sz w:val="22"/>
                <w:szCs w:val="22"/>
              </w:rPr>
            </w:pPr>
          </w:p>
        </w:tc>
        <w:tc>
          <w:tcPr>
            <w:tcW w:w="1134"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63</w:t>
            </w:r>
          </w:p>
        </w:tc>
        <w:tc>
          <w:tcPr>
            <w:tcW w:w="2018" w:type="dxa"/>
          </w:tcPr>
          <w:p w:rsidR="0014067B" w:rsidRPr="00122AE6" w:rsidRDefault="0014067B" w:rsidP="00892CAF">
            <w:pPr>
              <w:pStyle w:val="ac"/>
              <w:jc w:val="left"/>
              <w:rPr>
                <w:rFonts w:ascii="Times New Roman" w:hAnsi="Times New Roman" w:cs="Times New Roman"/>
                <w:sz w:val="22"/>
                <w:szCs w:val="22"/>
              </w:rPr>
            </w:pPr>
            <w:r w:rsidRPr="00122AE6">
              <w:rPr>
                <w:rFonts w:ascii="Times New Roman" w:hAnsi="Times New Roman" w:cs="Times New Roman"/>
                <w:sz w:val="22"/>
                <w:szCs w:val="22"/>
              </w:rPr>
              <w:t>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r w:rsidRPr="00122AE6">
              <w:rPr>
                <w:rFonts w:ascii="Times New Roman" w:hAnsi="Times New Roman" w:cs="Times New Roman"/>
                <w:sz w:val="22"/>
                <w:szCs w:val="22"/>
              </w:rPr>
              <w:t>7.</w:t>
            </w:r>
          </w:p>
        </w:tc>
        <w:tc>
          <w:tcPr>
            <w:tcW w:w="1985" w:type="dxa"/>
          </w:tcPr>
          <w:p w:rsidR="0014067B" w:rsidRPr="00122AE6" w:rsidRDefault="0014067B" w:rsidP="00122AE6">
            <w:pPr>
              <w:jc w:val="both"/>
              <w:rPr>
                <w:sz w:val="22"/>
                <w:szCs w:val="22"/>
              </w:rPr>
            </w:pPr>
            <w:r w:rsidRPr="00122AE6">
              <w:rPr>
                <w:sz w:val="22"/>
                <w:szCs w:val="22"/>
              </w:rPr>
              <w:t>Субсидии муниципальному унитарному предприятию «Редакция газеты «Народная трибуна»</w:t>
            </w:r>
          </w:p>
        </w:tc>
        <w:tc>
          <w:tcPr>
            <w:tcW w:w="1418" w:type="dxa"/>
            <w:vMerge/>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1818,2</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sz w:val="22"/>
                <w:szCs w:val="22"/>
              </w:rPr>
            </w:pPr>
          </w:p>
        </w:tc>
        <w:tc>
          <w:tcPr>
            <w:tcW w:w="1276" w:type="dxa"/>
          </w:tcPr>
          <w:p w:rsidR="0014067B" w:rsidRPr="00122AE6" w:rsidRDefault="0014067B" w:rsidP="00892CAF">
            <w:pPr>
              <w:pStyle w:val="ac"/>
              <w:jc w:val="center"/>
              <w:rPr>
                <w:rFonts w:ascii="Times New Roman" w:hAnsi="Times New Roman" w:cs="Times New Roman"/>
                <w:sz w:val="22"/>
                <w:szCs w:val="22"/>
              </w:rPr>
            </w:pPr>
          </w:p>
        </w:tc>
        <w:tc>
          <w:tcPr>
            <w:tcW w:w="1701"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464,0</w:t>
            </w:r>
          </w:p>
        </w:tc>
        <w:tc>
          <w:tcPr>
            <w:tcW w:w="1276"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400,0</w:t>
            </w:r>
          </w:p>
        </w:tc>
        <w:tc>
          <w:tcPr>
            <w:tcW w:w="1559"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504,2</w:t>
            </w:r>
          </w:p>
        </w:tc>
        <w:tc>
          <w:tcPr>
            <w:tcW w:w="1134" w:type="dxa"/>
          </w:tcPr>
          <w:p w:rsidR="0014067B" w:rsidRPr="00122AE6" w:rsidRDefault="0014067B" w:rsidP="00892CAF">
            <w:pPr>
              <w:pStyle w:val="ac"/>
              <w:jc w:val="center"/>
              <w:rPr>
                <w:rFonts w:ascii="Times New Roman" w:hAnsi="Times New Roman" w:cs="Times New Roman"/>
                <w:sz w:val="22"/>
                <w:szCs w:val="22"/>
              </w:rPr>
            </w:pPr>
            <w:r w:rsidRPr="00122AE6">
              <w:rPr>
                <w:rFonts w:ascii="Times New Roman" w:hAnsi="Times New Roman" w:cs="Times New Roman"/>
                <w:sz w:val="22"/>
                <w:szCs w:val="22"/>
              </w:rPr>
              <w:t>450,0</w:t>
            </w:r>
          </w:p>
        </w:tc>
        <w:tc>
          <w:tcPr>
            <w:tcW w:w="2018" w:type="dxa"/>
          </w:tcPr>
          <w:p w:rsidR="0014067B" w:rsidRPr="00122AE6" w:rsidRDefault="0014067B" w:rsidP="00892CAF">
            <w:pPr>
              <w:pStyle w:val="ac"/>
              <w:jc w:val="left"/>
              <w:rPr>
                <w:rFonts w:ascii="Times New Roman" w:hAnsi="Times New Roman" w:cs="Times New Roman"/>
                <w:sz w:val="22"/>
                <w:szCs w:val="22"/>
              </w:rPr>
            </w:pPr>
            <w:r w:rsidRPr="00122AE6">
              <w:rPr>
                <w:rFonts w:ascii="Times New Roman" w:hAnsi="Times New Roman" w:cs="Times New Roman"/>
                <w:sz w:val="22"/>
                <w:szCs w:val="22"/>
              </w:rPr>
              <w:t>МУП «Редакция газеты «Народная трибуна», МБУ «ЦБ администрации Калининского муниципального района»</w:t>
            </w:r>
          </w:p>
        </w:tc>
      </w:tr>
      <w:tr w:rsidR="00122AE6" w:rsidRPr="00FC62B6" w:rsidTr="00122AE6">
        <w:tc>
          <w:tcPr>
            <w:tcW w:w="567" w:type="dxa"/>
          </w:tcPr>
          <w:p w:rsidR="0014067B" w:rsidRPr="00122AE6" w:rsidRDefault="0014067B" w:rsidP="00892CAF">
            <w:pPr>
              <w:pStyle w:val="ac"/>
              <w:rPr>
                <w:rFonts w:ascii="Times New Roman" w:hAnsi="Times New Roman" w:cs="Times New Roman"/>
                <w:sz w:val="22"/>
                <w:szCs w:val="22"/>
              </w:rPr>
            </w:pPr>
          </w:p>
        </w:tc>
        <w:tc>
          <w:tcPr>
            <w:tcW w:w="1985" w:type="dxa"/>
          </w:tcPr>
          <w:p w:rsidR="0014067B" w:rsidRPr="00122AE6" w:rsidRDefault="0014067B" w:rsidP="00892CAF">
            <w:pPr>
              <w:rPr>
                <w:b/>
                <w:sz w:val="22"/>
                <w:szCs w:val="22"/>
              </w:rPr>
            </w:pPr>
            <w:r w:rsidRPr="00122AE6">
              <w:rPr>
                <w:b/>
                <w:sz w:val="22"/>
                <w:szCs w:val="22"/>
              </w:rPr>
              <w:t>ИТОГО</w:t>
            </w:r>
          </w:p>
        </w:tc>
        <w:tc>
          <w:tcPr>
            <w:tcW w:w="1418" w:type="dxa"/>
          </w:tcPr>
          <w:p w:rsidR="0014067B" w:rsidRPr="00122AE6" w:rsidRDefault="0014067B" w:rsidP="00892CAF">
            <w:pPr>
              <w:pStyle w:val="ac"/>
              <w:rPr>
                <w:rFonts w:ascii="Times New Roman" w:hAnsi="Times New Roman" w:cs="Times New Roman"/>
                <w:sz w:val="22"/>
                <w:szCs w:val="22"/>
              </w:rPr>
            </w:pPr>
          </w:p>
        </w:tc>
        <w:tc>
          <w:tcPr>
            <w:tcW w:w="1417"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3152,4</w:t>
            </w:r>
          </w:p>
        </w:tc>
        <w:tc>
          <w:tcPr>
            <w:tcW w:w="1701" w:type="dxa"/>
            <w:tcBorders>
              <w:right w:val="single" w:sz="4" w:space="0" w:color="auto"/>
            </w:tcBorders>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336,3</w:t>
            </w:r>
          </w:p>
        </w:tc>
        <w:tc>
          <w:tcPr>
            <w:tcW w:w="1276"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357,3</w:t>
            </w:r>
          </w:p>
        </w:tc>
        <w:tc>
          <w:tcPr>
            <w:tcW w:w="1701"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464,0</w:t>
            </w:r>
          </w:p>
        </w:tc>
        <w:tc>
          <w:tcPr>
            <w:tcW w:w="1276"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540,6</w:t>
            </w:r>
          </w:p>
        </w:tc>
        <w:tc>
          <w:tcPr>
            <w:tcW w:w="1559"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504,2</w:t>
            </w:r>
          </w:p>
        </w:tc>
        <w:tc>
          <w:tcPr>
            <w:tcW w:w="1134" w:type="dxa"/>
          </w:tcPr>
          <w:p w:rsidR="0014067B" w:rsidRPr="00122AE6" w:rsidRDefault="0014067B" w:rsidP="00892CAF">
            <w:pPr>
              <w:pStyle w:val="ac"/>
              <w:jc w:val="center"/>
              <w:rPr>
                <w:rFonts w:ascii="Times New Roman" w:hAnsi="Times New Roman" w:cs="Times New Roman"/>
                <w:b/>
                <w:sz w:val="22"/>
                <w:szCs w:val="22"/>
              </w:rPr>
            </w:pPr>
            <w:r w:rsidRPr="00122AE6">
              <w:rPr>
                <w:rFonts w:ascii="Times New Roman" w:hAnsi="Times New Roman" w:cs="Times New Roman"/>
                <w:b/>
                <w:sz w:val="22"/>
                <w:szCs w:val="22"/>
              </w:rPr>
              <w:t>950,0</w:t>
            </w:r>
          </w:p>
        </w:tc>
        <w:tc>
          <w:tcPr>
            <w:tcW w:w="2018" w:type="dxa"/>
          </w:tcPr>
          <w:p w:rsidR="0014067B" w:rsidRPr="00122AE6" w:rsidRDefault="0014067B" w:rsidP="00892CAF">
            <w:pPr>
              <w:pStyle w:val="ac"/>
              <w:rPr>
                <w:rFonts w:ascii="Times New Roman" w:hAnsi="Times New Roman" w:cs="Times New Roman"/>
                <w:sz w:val="22"/>
                <w:szCs w:val="22"/>
              </w:rPr>
            </w:pPr>
          </w:p>
        </w:tc>
      </w:tr>
    </w:tbl>
    <w:p w:rsidR="0014067B" w:rsidRDefault="0014067B" w:rsidP="00122AE6">
      <w:pPr>
        <w:rPr>
          <w:b/>
          <w:bCs/>
          <w:sz w:val="28"/>
          <w:szCs w:val="28"/>
        </w:rPr>
      </w:pPr>
    </w:p>
    <w:p w:rsidR="0014067B" w:rsidRDefault="0014067B" w:rsidP="00122AE6">
      <w:pPr>
        <w:rPr>
          <w:b/>
          <w:bCs/>
          <w:sz w:val="28"/>
          <w:szCs w:val="28"/>
        </w:rPr>
      </w:pPr>
    </w:p>
    <w:p w:rsidR="00122AE6" w:rsidRDefault="00122AE6" w:rsidP="00122AE6">
      <w:pPr>
        <w:rPr>
          <w:b/>
          <w:bCs/>
          <w:sz w:val="28"/>
          <w:szCs w:val="28"/>
        </w:rPr>
      </w:pPr>
    </w:p>
    <w:p w:rsidR="00122AE6" w:rsidRDefault="00122AE6" w:rsidP="00122AE6">
      <w:pPr>
        <w:ind w:left="-709" w:right="-456"/>
        <w:rPr>
          <w:b/>
          <w:bCs/>
          <w:sz w:val="28"/>
          <w:szCs w:val="28"/>
        </w:rPr>
      </w:pPr>
      <w:r>
        <w:rPr>
          <w:b/>
          <w:bCs/>
          <w:sz w:val="28"/>
          <w:szCs w:val="28"/>
        </w:rPr>
        <w:t>Верно:</w:t>
      </w:r>
    </w:p>
    <w:p w:rsidR="00122AE6" w:rsidRDefault="00122AE6" w:rsidP="00122AE6">
      <w:pPr>
        <w:ind w:left="-709" w:right="-456"/>
        <w:rPr>
          <w:b/>
          <w:bCs/>
          <w:sz w:val="28"/>
          <w:szCs w:val="28"/>
        </w:rPr>
      </w:pPr>
      <w:r>
        <w:rPr>
          <w:b/>
          <w:bCs/>
          <w:sz w:val="28"/>
          <w:szCs w:val="28"/>
        </w:rPr>
        <w:t>начальник отдела делопроизводства</w:t>
      </w:r>
    </w:p>
    <w:p w:rsidR="00122AE6" w:rsidRDefault="00122AE6" w:rsidP="00122AE6">
      <w:pPr>
        <w:ind w:left="-709" w:right="-456"/>
        <w:rPr>
          <w:b/>
          <w:bCs/>
          <w:sz w:val="28"/>
          <w:szCs w:val="28"/>
        </w:rPr>
      </w:pPr>
      <w:r>
        <w:rPr>
          <w:b/>
          <w:bCs/>
          <w:sz w:val="28"/>
          <w:szCs w:val="28"/>
        </w:rPr>
        <w:t>администрации МР                                                                                                                                                                      О.И. Сигачева</w:t>
      </w:r>
    </w:p>
    <w:p w:rsidR="0014067B" w:rsidRDefault="0014067B" w:rsidP="00962DEC"/>
    <w:sectPr w:rsidR="0014067B" w:rsidSect="0031009E">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D6" w:rsidRDefault="00AA72D6">
      <w:r>
        <w:separator/>
      </w:r>
    </w:p>
  </w:endnote>
  <w:endnote w:type="continuationSeparator" w:id="1">
    <w:p w:rsidR="00AA72D6" w:rsidRDefault="00AA7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D6" w:rsidRDefault="00AA72D6">
      <w:r>
        <w:separator/>
      </w:r>
    </w:p>
  </w:footnote>
  <w:footnote w:type="continuationSeparator" w:id="1">
    <w:p w:rsidR="00AA72D6" w:rsidRDefault="00AA7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623"/>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2E"/>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D20"/>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06E"/>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AE6"/>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67B"/>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52"/>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C39"/>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09E"/>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059"/>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77"/>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A00"/>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36"/>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2D6"/>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6BE"/>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288"/>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2021-12-15T04:28:00Z</cp:lastPrinted>
  <dcterms:created xsi:type="dcterms:W3CDTF">2021-12-15T04:28:00Z</dcterms:created>
  <dcterms:modified xsi:type="dcterms:W3CDTF">2021-12-15T04:29:00Z</dcterms:modified>
</cp:coreProperties>
</file>