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827725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827725" w:rsidRDefault="00714A9C" w:rsidP="00997E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635E3B" w:rsidRPr="0082772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635E3B"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635E3B" w:rsidRPr="0082772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635E3B"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635E3B" w:rsidRPr="0082772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 </w:t>
      </w:r>
      <w:r w:rsidR="00635E3B"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635E3B" w:rsidRPr="0082772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решению вопросов местного значения в области </w:t>
      </w:r>
      <w:r w:rsidR="00635E3B" w:rsidRPr="00827725">
        <w:rPr>
          <w:rFonts w:ascii="Times New Roman" w:hAnsi="Times New Roman" w:cs="Times New Roman"/>
          <w:b/>
          <w:sz w:val="27"/>
          <w:szCs w:val="27"/>
        </w:rPr>
        <w:t>д</w:t>
      </w:r>
      <w:r w:rsidR="00635E3B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635E3B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635E3B" w:rsidRPr="00827725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635E3B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 </w:t>
      </w:r>
      <w:proofErr w:type="spellStart"/>
      <w:r w:rsidR="00366D6A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>Тало</w:t>
      </w:r>
      <w:r w:rsidR="00C8490A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>вского</w:t>
      </w:r>
      <w:proofErr w:type="spellEnd"/>
      <w:r w:rsidR="00C8490A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997EF8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ниципального образования </w:t>
      </w:r>
      <w:r w:rsidR="00AB626A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82772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827725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827725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827725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827725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827725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827725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82772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27725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827725">
        <w:rPr>
          <w:rFonts w:ascii="Times New Roman" w:hAnsi="Times New Roman" w:cs="Times New Roman"/>
          <w:b/>
          <w:sz w:val="27"/>
          <w:szCs w:val="27"/>
        </w:rPr>
        <w:t>_____</w:t>
      </w:r>
      <w:r w:rsidRPr="00827725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82772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827725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82772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827725">
        <w:rPr>
          <w:rFonts w:ascii="Times New Roman" w:hAnsi="Times New Roman" w:cs="Times New Roman"/>
          <w:b/>
          <w:sz w:val="27"/>
          <w:szCs w:val="27"/>
        </w:rPr>
        <w:t>201</w:t>
      </w:r>
      <w:r w:rsidR="00AB626A" w:rsidRPr="00827725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827725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827725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827725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827725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827725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AB626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AB626A" w:rsidRPr="00827725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827725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</w:t>
      </w:r>
      <w:proofErr w:type="gramStart"/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дальнейшем</w:t>
      </w:r>
      <w:proofErr w:type="gramEnd"/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82772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827725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827725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827725">
        <w:rPr>
          <w:rFonts w:ascii="Times New Roman" w:hAnsi="Times New Roman" w:cs="Times New Roman"/>
          <w:sz w:val="27"/>
          <w:szCs w:val="27"/>
        </w:rPr>
        <w:t>а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66D6A" w:rsidRPr="00827725">
        <w:rPr>
          <w:rFonts w:ascii="Times New Roman" w:hAnsi="Times New Roman" w:cs="Times New Roman"/>
          <w:color w:val="000000"/>
          <w:sz w:val="27"/>
          <w:szCs w:val="27"/>
        </w:rPr>
        <w:t>Тало</w:t>
      </w:r>
      <w:r w:rsidR="00C8490A" w:rsidRPr="00827725">
        <w:rPr>
          <w:rFonts w:ascii="Times New Roman" w:hAnsi="Times New Roman" w:cs="Times New Roman"/>
          <w:color w:val="000000"/>
          <w:sz w:val="27"/>
          <w:szCs w:val="27"/>
        </w:rPr>
        <w:t>вского</w:t>
      </w:r>
      <w:proofErr w:type="spellEnd"/>
      <w:r w:rsidR="00C8490A"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827725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 xml:space="preserve">Калининского муниципального </w:t>
      </w:r>
      <w:proofErr w:type="gramStart"/>
      <w:r w:rsidR="004353A4" w:rsidRPr="00827725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района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главы</w:t>
      </w:r>
      <w:r w:rsidR="0054042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366D6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Булавина Павла Александровича</w:t>
      </w:r>
      <w:r w:rsidR="00A37159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66D6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Тало</w:t>
      </w:r>
      <w:r w:rsidR="00C8490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вского</w:t>
      </w:r>
      <w:proofErr w:type="spellEnd"/>
      <w:r w:rsidR="00C8490A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827725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82772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827725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827725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827725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района, Уставом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66D6A" w:rsidRPr="00827725">
        <w:rPr>
          <w:rFonts w:ascii="Times New Roman" w:hAnsi="Times New Roman" w:cs="Times New Roman"/>
          <w:sz w:val="27"/>
          <w:szCs w:val="27"/>
        </w:rPr>
        <w:t>Тало</w:t>
      </w:r>
      <w:r w:rsidR="00C8490A" w:rsidRPr="00827725">
        <w:rPr>
          <w:rFonts w:ascii="Times New Roman" w:hAnsi="Times New Roman" w:cs="Times New Roman"/>
          <w:sz w:val="27"/>
          <w:szCs w:val="27"/>
        </w:rPr>
        <w:t>вского</w:t>
      </w:r>
      <w:proofErr w:type="spellEnd"/>
      <w:r w:rsidR="00C8490A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827725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827725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827725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827725">
        <w:rPr>
          <w:rFonts w:ascii="Times New Roman" w:hAnsi="Times New Roman" w:cs="Times New Roman"/>
          <w:sz w:val="27"/>
          <w:szCs w:val="27"/>
        </w:rPr>
        <w:t>муниципального района Саратовской</w:t>
      </w:r>
      <w:proofErr w:type="gramEnd"/>
      <w:r w:rsidR="00763C90" w:rsidRPr="00827725">
        <w:rPr>
          <w:rFonts w:ascii="Times New Roman" w:hAnsi="Times New Roman" w:cs="Times New Roman"/>
          <w:sz w:val="27"/>
          <w:szCs w:val="27"/>
        </w:rPr>
        <w:t xml:space="preserve"> области </w:t>
      </w:r>
      <w:r w:rsidR="00A42370" w:rsidRPr="00827725">
        <w:rPr>
          <w:rFonts w:ascii="Times New Roman" w:hAnsi="Times New Roman" w:cs="Times New Roman"/>
          <w:sz w:val="27"/>
          <w:szCs w:val="27"/>
        </w:rPr>
        <w:t xml:space="preserve">от </w:t>
      </w:r>
      <w:r w:rsidR="00AB626A" w:rsidRPr="00827725">
        <w:rPr>
          <w:rFonts w:ascii="Times New Roman" w:hAnsi="Times New Roman" w:cs="Times New Roman"/>
          <w:sz w:val="27"/>
          <w:szCs w:val="27"/>
        </w:rPr>
        <w:t>04</w:t>
      </w:r>
      <w:r w:rsidR="00A42370" w:rsidRPr="00827725">
        <w:rPr>
          <w:rFonts w:ascii="Times New Roman" w:hAnsi="Times New Roman" w:cs="Times New Roman"/>
          <w:sz w:val="27"/>
          <w:szCs w:val="27"/>
        </w:rPr>
        <w:t>.12.201</w:t>
      </w:r>
      <w:r w:rsidR="00AB626A" w:rsidRPr="00827725">
        <w:rPr>
          <w:rFonts w:ascii="Times New Roman" w:hAnsi="Times New Roman" w:cs="Times New Roman"/>
          <w:sz w:val="27"/>
          <w:szCs w:val="27"/>
        </w:rPr>
        <w:t>9</w:t>
      </w:r>
      <w:r w:rsidR="00A42370" w:rsidRPr="00827725">
        <w:rPr>
          <w:rFonts w:ascii="Times New Roman" w:hAnsi="Times New Roman" w:cs="Times New Roman"/>
          <w:sz w:val="27"/>
          <w:szCs w:val="27"/>
        </w:rPr>
        <w:t xml:space="preserve">г № </w:t>
      </w:r>
      <w:r w:rsidR="00AB626A" w:rsidRPr="00827725">
        <w:rPr>
          <w:rFonts w:ascii="Times New Roman" w:hAnsi="Times New Roman" w:cs="Times New Roman"/>
          <w:sz w:val="27"/>
          <w:szCs w:val="27"/>
        </w:rPr>
        <w:t>34-247</w:t>
      </w:r>
      <w:r w:rsidR="00763C90" w:rsidRPr="00827725">
        <w:rPr>
          <w:rFonts w:ascii="Times New Roman" w:hAnsi="Times New Roman" w:cs="Times New Roman"/>
          <w:sz w:val="27"/>
          <w:szCs w:val="27"/>
        </w:rPr>
        <w:t xml:space="preserve">, </w:t>
      </w:r>
      <w:r w:rsidR="00366D6A" w:rsidRPr="00827725">
        <w:rPr>
          <w:rFonts w:ascii="Times New Roman" w:hAnsi="Times New Roman" w:cs="Times New Roman"/>
          <w:sz w:val="27"/>
          <w:szCs w:val="27"/>
        </w:rPr>
        <w:t>Р</w:t>
      </w:r>
      <w:r w:rsidR="00A676FA" w:rsidRPr="00827725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827725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proofErr w:type="spellStart"/>
      <w:r w:rsidR="00366D6A" w:rsidRPr="00827725">
        <w:rPr>
          <w:rFonts w:ascii="Times New Roman" w:hAnsi="Times New Roman" w:cs="Times New Roman"/>
          <w:sz w:val="27"/>
          <w:szCs w:val="27"/>
        </w:rPr>
        <w:t>Тало</w:t>
      </w:r>
      <w:r w:rsidR="00C8490A" w:rsidRPr="00827725">
        <w:rPr>
          <w:rFonts w:ascii="Times New Roman" w:hAnsi="Times New Roman" w:cs="Times New Roman"/>
          <w:sz w:val="27"/>
          <w:szCs w:val="27"/>
        </w:rPr>
        <w:t>вского</w:t>
      </w:r>
      <w:proofErr w:type="spellEnd"/>
      <w:r w:rsidR="00C8490A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827725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827725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AB626A" w:rsidRPr="00827725">
        <w:rPr>
          <w:rFonts w:ascii="Times New Roman" w:hAnsi="Times New Roman" w:cs="Times New Roman"/>
          <w:sz w:val="27"/>
          <w:szCs w:val="27"/>
        </w:rPr>
        <w:t>(четвертого созыва) от 09</w:t>
      </w:r>
      <w:r w:rsidR="00A42370" w:rsidRPr="00827725">
        <w:rPr>
          <w:rFonts w:ascii="Times New Roman" w:hAnsi="Times New Roman" w:cs="Times New Roman"/>
          <w:sz w:val="27"/>
          <w:szCs w:val="27"/>
        </w:rPr>
        <w:t>.12.201</w:t>
      </w:r>
      <w:r w:rsidR="00AB626A" w:rsidRPr="00827725">
        <w:rPr>
          <w:rFonts w:ascii="Times New Roman" w:hAnsi="Times New Roman" w:cs="Times New Roman"/>
          <w:sz w:val="27"/>
          <w:szCs w:val="27"/>
        </w:rPr>
        <w:t>9</w:t>
      </w:r>
      <w:r w:rsidR="00A42370" w:rsidRPr="00827725">
        <w:rPr>
          <w:rFonts w:ascii="Times New Roman" w:hAnsi="Times New Roman" w:cs="Times New Roman"/>
          <w:sz w:val="27"/>
          <w:szCs w:val="27"/>
        </w:rPr>
        <w:t xml:space="preserve">г № </w:t>
      </w:r>
      <w:r w:rsidR="00AB626A" w:rsidRPr="00827725">
        <w:rPr>
          <w:rFonts w:ascii="Times New Roman" w:hAnsi="Times New Roman" w:cs="Times New Roman"/>
          <w:sz w:val="27"/>
          <w:szCs w:val="27"/>
        </w:rPr>
        <w:t>38-86</w:t>
      </w:r>
      <w:r w:rsidR="00763C90" w:rsidRPr="00827725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827725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6CF1" w:rsidRPr="00827725" w:rsidRDefault="00396CF1" w:rsidP="00396CF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827725">
        <w:rPr>
          <w:rFonts w:ascii="Times New Roman" w:hAnsi="Times New Roman" w:cs="Times New Roman"/>
          <w:sz w:val="27"/>
          <w:szCs w:val="27"/>
        </w:rPr>
        <w:t>- д</w:t>
      </w:r>
      <w:r w:rsidRPr="00827725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827725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82772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27725">
        <w:rPr>
          <w:rFonts w:ascii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827725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hyperlink r:id="rId7" w:history="1">
        <w:r w:rsidRPr="00827725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827725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27725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827725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827725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827725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827725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827725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</w:t>
      </w:r>
      <w:r w:rsidRPr="00827725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827725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827725">
        <w:rPr>
          <w:rFonts w:ascii="Times New Roman" w:hAnsi="Times New Roman" w:cs="Times New Roman"/>
          <w:sz w:val="27"/>
          <w:szCs w:val="27"/>
        </w:rPr>
        <w:t>1</w:t>
      </w:r>
      <w:r w:rsidRPr="00827725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827725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827725">
        <w:rPr>
          <w:rFonts w:ascii="Times New Roman" w:hAnsi="Times New Roman" w:cs="Times New Roman"/>
          <w:bCs/>
          <w:sz w:val="27"/>
          <w:szCs w:val="27"/>
        </w:rPr>
        <w:t>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827725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827725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27725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827725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827725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827725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827725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827725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AB626A" w:rsidRPr="00827725" w:rsidRDefault="00AB626A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5441" w:rsidRPr="00827725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827725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827725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827725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827725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827725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827725">
        <w:rPr>
          <w:rFonts w:ascii="Times New Roman" w:hAnsi="Times New Roman" w:cs="Times New Roman"/>
          <w:sz w:val="27"/>
          <w:szCs w:val="27"/>
        </w:rPr>
        <w:t>ю</w:t>
      </w:r>
      <w:r w:rsidR="00F8007B" w:rsidRPr="00827725">
        <w:rPr>
          <w:rFonts w:ascii="Times New Roman" w:hAnsi="Times New Roman" w:cs="Times New Roman"/>
          <w:sz w:val="27"/>
          <w:szCs w:val="27"/>
        </w:rPr>
        <w:t>» «</w:t>
      </w:r>
      <w:r w:rsidR="0074638B" w:rsidRPr="00827725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827725">
        <w:rPr>
          <w:rFonts w:ascii="Times New Roman" w:hAnsi="Times New Roman" w:cs="Times New Roman"/>
          <w:sz w:val="27"/>
          <w:szCs w:val="27"/>
        </w:rPr>
        <w:t>айон</w:t>
      </w:r>
      <w:r w:rsidR="00C20E64" w:rsidRPr="00827725">
        <w:rPr>
          <w:rFonts w:ascii="Times New Roman" w:hAnsi="Times New Roman" w:cs="Times New Roman"/>
          <w:sz w:val="27"/>
          <w:szCs w:val="27"/>
        </w:rPr>
        <w:t>ом</w:t>
      </w:r>
      <w:r w:rsidR="00F8007B" w:rsidRPr="00827725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827725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827725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AB626A" w:rsidRPr="00827725">
        <w:rPr>
          <w:rFonts w:ascii="Times New Roman" w:hAnsi="Times New Roman" w:cs="Times New Roman"/>
          <w:sz w:val="27"/>
          <w:szCs w:val="27"/>
        </w:rPr>
        <w:t>628 400</w:t>
      </w:r>
      <w:r w:rsidR="009120AB" w:rsidRPr="00827725">
        <w:rPr>
          <w:rFonts w:ascii="Times New Roman" w:hAnsi="Times New Roman" w:cs="Times New Roman"/>
          <w:sz w:val="27"/>
          <w:szCs w:val="27"/>
        </w:rPr>
        <w:t xml:space="preserve">,00 (шестьсот </w:t>
      </w:r>
      <w:r w:rsidR="00AB626A" w:rsidRPr="00827725">
        <w:rPr>
          <w:rFonts w:ascii="Times New Roman" w:hAnsi="Times New Roman" w:cs="Times New Roman"/>
          <w:sz w:val="27"/>
          <w:szCs w:val="27"/>
        </w:rPr>
        <w:t>двадцать восемь</w:t>
      </w:r>
      <w:r w:rsidR="00366D6A" w:rsidRPr="00827725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9120AB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AB626A" w:rsidRPr="00827725">
        <w:rPr>
          <w:rFonts w:ascii="Times New Roman" w:hAnsi="Times New Roman" w:cs="Times New Roman"/>
          <w:sz w:val="27"/>
          <w:szCs w:val="27"/>
        </w:rPr>
        <w:t>четыреста</w:t>
      </w:r>
      <w:r w:rsidR="009120AB" w:rsidRPr="00827725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827725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827725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827725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827725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827725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827725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827725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827725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827725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82772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27725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- </w:t>
      </w:r>
      <w:r w:rsidRPr="00827725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827725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827725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827725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827725">
        <w:rPr>
          <w:rFonts w:ascii="Times New Roman" w:hAnsi="Times New Roman" w:cs="Times New Roman"/>
          <w:sz w:val="27"/>
          <w:szCs w:val="27"/>
        </w:rPr>
        <w:t>;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827725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827725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827725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827725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827725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827725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827725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827725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27725">
        <w:rPr>
          <w:rFonts w:ascii="Times New Roman" w:hAnsi="Times New Roman" w:cs="Times New Roman"/>
          <w:sz w:val="27"/>
          <w:szCs w:val="27"/>
        </w:rPr>
        <w:t xml:space="preserve">- </w:t>
      </w:r>
      <w:r w:rsidRPr="00827725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827725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396CF1" w:rsidRPr="00827725" w:rsidRDefault="00396CF1" w:rsidP="00396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827725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827725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827725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396CF1" w:rsidRPr="00827725" w:rsidRDefault="00396CF1" w:rsidP="00396C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396CF1" w:rsidRPr="00827725" w:rsidRDefault="00396CF1" w:rsidP="00396C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7069EC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827725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82772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27725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82772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82772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82772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8277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:rsidR="00396CF1" w:rsidRPr="00827725" w:rsidRDefault="00396CF1" w:rsidP="00396C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7.1. Настоящее Соглашение составлено в двух экземплярах, имеющих одинаковую юридическую силу, по одному каждой из Сторон.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27725">
        <w:rPr>
          <w:rFonts w:ascii="Times New Roman" w:hAnsi="Times New Roman" w:cs="Times New Roman"/>
          <w:sz w:val="27"/>
          <w:szCs w:val="27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772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7.4. Приложения к соглашению являются неотъемлемой частью настоящего Соглашения.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827725">
        <w:rPr>
          <w:rFonts w:ascii="Times New Roman" w:eastAsia="Calibri" w:hAnsi="Times New Roman" w:cs="Times New Roman"/>
          <w:b/>
          <w:color w:val="000000"/>
          <w:sz w:val="27"/>
          <w:szCs w:val="27"/>
        </w:rPr>
        <w:lastRenderedPageBreak/>
        <w:t xml:space="preserve">Приложения: 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2772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1 - </w:t>
      </w:r>
      <w:r w:rsidRPr="00827725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396CF1" w:rsidRPr="00827725" w:rsidRDefault="00396CF1" w:rsidP="00396C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Приложение № 2 - </w:t>
      </w:r>
      <w:r w:rsidRPr="00827725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366D6A" w:rsidRPr="00827725" w:rsidRDefault="00396CF1" w:rsidP="00396C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827725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E413B6" w:rsidRPr="00827725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7725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827725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827725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827725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827725" w:rsidTr="004E323D">
        <w:tc>
          <w:tcPr>
            <w:tcW w:w="4644" w:type="dxa"/>
          </w:tcPr>
          <w:p w:rsidR="00E413B6" w:rsidRPr="00827725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827725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827725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827725" w:rsidTr="004E323D">
        <w:tc>
          <w:tcPr>
            <w:tcW w:w="4644" w:type="dxa"/>
          </w:tcPr>
          <w:p w:rsidR="005A3CD4" w:rsidRPr="00827725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773842" w:rsidRPr="00827725" w:rsidRDefault="00773842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C79FA" w:rsidRPr="00827725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3C79FA" w:rsidRPr="00827725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827725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827725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773842" w:rsidRPr="00827725" w:rsidRDefault="00773842" w:rsidP="0077384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Таловского</w:t>
            </w:r>
            <w:proofErr w:type="spellEnd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МО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Калининского муниципального района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Саратовской области,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412456, Саратовская область,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Калининский район, с</w:t>
            </w:r>
            <w:proofErr w:type="gramStart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.Т</w:t>
            </w:r>
            <w:proofErr w:type="gramEnd"/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аловка ул.Центральная, 57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ИНН 6415902180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ОГРН 1056403829294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/с 512010011 в Управлении финансов 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82772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73842" w:rsidRPr="00827725" w:rsidRDefault="00773842" w:rsidP="00773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C8490A" w:rsidRPr="00827725" w:rsidRDefault="00C8490A" w:rsidP="00C8490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E413B6" w:rsidRPr="00827725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F6511" w:rsidRPr="00827725" w:rsidTr="004E323D">
        <w:tc>
          <w:tcPr>
            <w:tcW w:w="4644" w:type="dxa"/>
          </w:tcPr>
          <w:p w:rsidR="00FF6511" w:rsidRPr="00827725" w:rsidRDefault="00AB626A" w:rsidP="00AB626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FF6511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D214DF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Калининского </w:t>
            </w:r>
            <w:r w:rsidR="00A676FA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FF6511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</w:tc>
        <w:tc>
          <w:tcPr>
            <w:tcW w:w="284" w:type="dxa"/>
          </w:tcPr>
          <w:p w:rsidR="00FF6511" w:rsidRPr="00827725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FF6511" w:rsidRPr="00827725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администрации </w:t>
            </w:r>
            <w:proofErr w:type="spellStart"/>
            <w:r w:rsidR="00773842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Тало</w:t>
            </w:r>
            <w:r w:rsidR="00C8490A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вского</w:t>
            </w:r>
            <w:proofErr w:type="spellEnd"/>
            <w:r w:rsidR="00C8490A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D214DF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образования</w:t>
            </w:r>
          </w:p>
          <w:p w:rsidR="00FF6511" w:rsidRPr="00827725" w:rsidRDefault="00FF6511" w:rsidP="00C71D9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6511" w:rsidRPr="00827725" w:rsidTr="004E323D">
        <w:tc>
          <w:tcPr>
            <w:tcW w:w="4644" w:type="dxa"/>
          </w:tcPr>
          <w:p w:rsidR="00586B61" w:rsidRPr="00827725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827725" w:rsidRDefault="00A5701B" w:rsidP="00AB626A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______________</w:t>
            </w:r>
            <w:r w:rsidR="00FF6511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/</w:t>
            </w:r>
            <w:r w:rsidR="00AB626A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Лазарев В.Г.</w:t>
            </w:r>
            <w:r w:rsidR="00071F1D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  <w:tc>
          <w:tcPr>
            <w:tcW w:w="284" w:type="dxa"/>
          </w:tcPr>
          <w:p w:rsidR="00FF6511" w:rsidRPr="00827725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586B61" w:rsidRPr="00827725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827725" w:rsidRDefault="00071F1D" w:rsidP="00773842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__________</w:t>
            </w:r>
            <w:r w:rsidR="00A37159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_/</w:t>
            </w:r>
            <w:r w:rsidR="00773842"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Булавин П.А.</w:t>
            </w:r>
            <w:r w:rsidRPr="0082772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</w:tr>
    </w:tbl>
    <w:p w:rsidR="00661CEB" w:rsidRDefault="00661CEB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42" w:rsidRDefault="00773842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97EF8" w:rsidRDefault="00997EF8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97EF8" w:rsidRDefault="00997EF8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725" w:rsidRDefault="00827725" w:rsidP="00AB62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CD5940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59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CD5940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5940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CD5940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AB626A" w:rsidRPr="00CD5940">
        <w:rPr>
          <w:rFonts w:ascii="Times New Roman" w:hAnsi="Times New Roman" w:cs="Times New Roman"/>
          <w:bCs/>
          <w:sz w:val="28"/>
          <w:szCs w:val="28"/>
        </w:rPr>
        <w:t>9</w:t>
      </w:r>
      <w:r w:rsidRPr="00CD5940">
        <w:rPr>
          <w:rFonts w:ascii="Times New Roman" w:hAnsi="Times New Roman" w:cs="Times New Roman"/>
          <w:bCs/>
          <w:sz w:val="28"/>
          <w:szCs w:val="28"/>
        </w:rPr>
        <w:t>г</w:t>
      </w:r>
    </w:p>
    <w:p w:rsidR="00CD5940" w:rsidRPr="00CD5940" w:rsidRDefault="00CD5940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940" w:rsidRPr="00CD5940" w:rsidRDefault="00CD5940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CD5940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40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CD5940" w:rsidRPr="00CD5940" w:rsidRDefault="00CD5940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CD5940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D5940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CD5940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CD59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D5940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CD5940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CD5940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773842" w:rsidRPr="00CD5940" w:rsidRDefault="00773842" w:rsidP="007738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Pr="00CD594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CD59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Pr="00CD594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CD594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773842" w:rsidRPr="00CD5940" w:rsidRDefault="00773842" w:rsidP="007738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CD5940" w:rsidRPr="00CD5940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CD5940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CD5940" w:rsidRPr="00CD5940">
        <w:rPr>
          <w:rFonts w:ascii="Times New Roman" w:hAnsi="Times New Roman" w:cs="Times New Roman"/>
          <w:sz w:val="28"/>
          <w:szCs w:val="28"/>
        </w:rPr>
        <w:t>07.10.2019</w:t>
      </w:r>
      <w:r w:rsidRPr="00CD59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CD5940" w:rsidRPr="00CD5940">
        <w:rPr>
          <w:rFonts w:ascii="Times New Roman" w:hAnsi="Times New Roman" w:cs="Times New Roman"/>
          <w:sz w:val="28"/>
          <w:szCs w:val="28"/>
        </w:rPr>
        <w:t>97</w:t>
      </w:r>
      <w:r w:rsidRPr="00CD5940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</w:t>
      </w:r>
      <w:r w:rsidR="00635E3B" w:rsidRPr="00CD5940">
        <w:rPr>
          <w:rFonts w:ascii="Times New Roman" w:hAnsi="Times New Roman" w:cs="Times New Roman"/>
          <w:sz w:val="28"/>
          <w:szCs w:val="28"/>
        </w:rPr>
        <w:t xml:space="preserve"> акцизов на нефтепродукты на 2020</w:t>
      </w:r>
      <w:r w:rsidRPr="00CD5940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CD5940" w:rsidRPr="00CD5940">
        <w:rPr>
          <w:rFonts w:ascii="Times New Roman" w:hAnsi="Times New Roman" w:cs="Times New Roman"/>
          <w:sz w:val="28"/>
          <w:szCs w:val="28"/>
        </w:rPr>
        <w:t>6 574 204</w:t>
      </w:r>
      <w:r w:rsidRPr="00CD5940">
        <w:rPr>
          <w:rFonts w:ascii="Times New Roman" w:hAnsi="Times New Roman" w:cs="Times New Roman"/>
          <w:sz w:val="28"/>
          <w:szCs w:val="28"/>
        </w:rPr>
        <w:t>,9 тыс. рублей.</w:t>
      </w:r>
    </w:p>
    <w:p w:rsidR="00773842" w:rsidRPr="00CD5940" w:rsidRDefault="00773842" w:rsidP="00CD59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5940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CD594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CD59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процентах составляет</w:t>
      </w:r>
      <w:r w:rsidR="00CD5940" w:rsidRPr="00CD5940">
        <w:rPr>
          <w:rFonts w:ascii="Times New Roman" w:hAnsi="Times New Roman" w:cs="Times New Roman"/>
          <w:sz w:val="28"/>
          <w:szCs w:val="28"/>
        </w:rPr>
        <w:t xml:space="preserve">- 0,0095%, от протяженности </w:t>
      </w:r>
      <w:r w:rsidRPr="00CD5940">
        <w:rPr>
          <w:rFonts w:ascii="Times New Roman" w:hAnsi="Times New Roman" w:cs="Times New Roman"/>
          <w:sz w:val="28"/>
          <w:szCs w:val="28"/>
        </w:rPr>
        <w:t xml:space="preserve">дорог </w:t>
      </w:r>
      <w:proofErr w:type="spellStart"/>
      <w:r w:rsidRPr="00CD594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CD5940">
        <w:rPr>
          <w:rFonts w:ascii="Times New Roman" w:hAnsi="Times New Roman" w:cs="Times New Roman"/>
          <w:sz w:val="28"/>
          <w:szCs w:val="28"/>
        </w:rPr>
        <w:t xml:space="preserve"> </w:t>
      </w:r>
      <w:r w:rsidR="00635E3B" w:rsidRPr="00CD5940">
        <w:rPr>
          <w:rFonts w:ascii="Times New Roman" w:hAnsi="Times New Roman" w:cs="Times New Roman"/>
          <w:sz w:val="28"/>
          <w:szCs w:val="28"/>
        </w:rPr>
        <w:t>муниципального образования (16,7</w:t>
      </w:r>
      <w:r w:rsidRPr="00CD5940">
        <w:rPr>
          <w:rFonts w:ascii="Times New Roman" w:hAnsi="Times New Roman" w:cs="Times New Roman"/>
          <w:sz w:val="28"/>
          <w:szCs w:val="28"/>
        </w:rPr>
        <w:t>6 км), в %, от общей протяженность автомобильных дорог местного значения сельских и городского поселений.</w:t>
      </w:r>
      <w:proofErr w:type="gramEnd"/>
    </w:p>
    <w:p w:rsidR="00773842" w:rsidRPr="00CD5940" w:rsidRDefault="00773842" w:rsidP="00773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940" w:rsidRPr="00CD5940" w:rsidRDefault="00773842" w:rsidP="00773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lastRenderedPageBreak/>
        <w:t>3. Размер</w:t>
      </w:r>
      <w:r w:rsidR="00635E3B" w:rsidRPr="00CD5940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2020</w:t>
      </w:r>
      <w:r w:rsidRPr="00CD5940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635E3B" w:rsidRPr="00CD59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3842" w:rsidRPr="00CD5940" w:rsidRDefault="00CD5940" w:rsidP="007738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940">
        <w:rPr>
          <w:rFonts w:ascii="Times New Roman" w:hAnsi="Times New Roman" w:cs="Times New Roman"/>
          <w:sz w:val="28"/>
          <w:szCs w:val="28"/>
        </w:rPr>
        <w:t xml:space="preserve">6 574 204,9 </w:t>
      </w:r>
      <w:r w:rsidR="00635E3B" w:rsidRPr="00CD5940">
        <w:rPr>
          <w:rFonts w:ascii="Times New Roman" w:hAnsi="Times New Roman" w:cs="Times New Roman"/>
          <w:sz w:val="28"/>
          <w:szCs w:val="28"/>
        </w:rPr>
        <w:t xml:space="preserve">тыс. рублей * </w:t>
      </w:r>
      <w:r w:rsidRPr="00CD5940">
        <w:rPr>
          <w:rFonts w:ascii="Times New Roman" w:hAnsi="Times New Roman" w:cs="Times New Roman"/>
          <w:sz w:val="28"/>
          <w:szCs w:val="28"/>
        </w:rPr>
        <w:t>0,0095%</w:t>
      </w:r>
      <w:r w:rsidR="00773842" w:rsidRPr="00CD5940">
        <w:rPr>
          <w:rFonts w:ascii="Times New Roman" w:hAnsi="Times New Roman" w:cs="Times New Roman"/>
          <w:sz w:val="28"/>
          <w:szCs w:val="28"/>
        </w:rPr>
        <w:t xml:space="preserve">= </w:t>
      </w:r>
      <w:r w:rsidR="00635E3B" w:rsidRPr="00CD5940">
        <w:rPr>
          <w:rFonts w:ascii="Times New Roman" w:hAnsi="Times New Roman" w:cs="Times New Roman"/>
          <w:sz w:val="28"/>
          <w:szCs w:val="28"/>
        </w:rPr>
        <w:t>628,4</w:t>
      </w:r>
      <w:r w:rsidR="00773842" w:rsidRPr="00CD594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E29CF" w:rsidRPr="00CD5940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CD5940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CD5940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773842" w:rsidRPr="00CD5940" w:rsidTr="00151038">
        <w:tc>
          <w:tcPr>
            <w:tcW w:w="4644" w:type="dxa"/>
          </w:tcPr>
          <w:p w:rsidR="00773842" w:rsidRPr="00CD5940" w:rsidRDefault="00635E3B" w:rsidP="006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773842"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773842" w:rsidRPr="00CD5940" w:rsidRDefault="00773842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773842" w:rsidRPr="00CD5940" w:rsidRDefault="00773842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Таловского</w:t>
            </w:r>
            <w:proofErr w:type="spellEnd"/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773842" w:rsidRPr="00CD5940" w:rsidRDefault="00773842" w:rsidP="007738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842" w:rsidRPr="00C71D98" w:rsidTr="00151038">
        <w:tc>
          <w:tcPr>
            <w:tcW w:w="4644" w:type="dxa"/>
          </w:tcPr>
          <w:p w:rsidR="00773842" w:rsidRPr="00CD5940" w:rsidRDefault="00773842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42" w:rsidRPr="00CD5940" w:rsidRDefault="00773842" w:rsidP="00635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/</w:t>
            </w:r>
            <w:r w:rsidR="00635E3B"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</w:t>
            </w:r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773842" w:rsidRPr="00CD5940" w:rsidRDefault="00773842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773842" w:rsidRPr="00CD5940" w:rsidRDefault="00773842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42" w:rsidRPr="00C71D98" w:rsidRDefault="00773842" w:rsidP="0077384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940">
              <w:rPr>
                <w:rFonts w:ascii="Times New Roman" w:hAnsi="Times New Roman" w:cs="Times New Roman"/>
                <w:b/>
                <w:sz w:val="28"/>
                <w:szCs w:val="28"/>
              </w:rPr>
              <w:t>___________/Булавин П.А./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635E3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635E3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635E3B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635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635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635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35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635E3B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635E3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635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635E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635E3B">
        <w:trPr>
          <w:trHeight w:val="299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635E3B">
        <w:trPr>
          <w:trHeight w:val="276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635E3B">
        <w:trPr>
          <w:trHeight w:val="265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635E3B">
        <w:trPr>
          <w:trHeight w:val="284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773842" w:rsidRPr="00C71D98" w:rsidTr="00EF19D2">
        <w:tc>
          <w:tcPr>
            <w:tcW w:w="6629" w:type="dxa"/>
          </w:tcPr>
          <w:p w:rsidR="00773842" w:rsidRPr="00C71D98" w:rsidRDefault="00635E3B" w:rsidP="006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773842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773842" w:rsidRPr="00C71D98" w:rsidRDefault="00773842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73842" w:rsidRPr="00C71D98" w:rsidRDefault="00773842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73842" w:rsidRPr="00C71D98" w:rsidRDefault="00773842" w:rsidP="007738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842" w:rsidRPr="00C71D98" w:rsidTr="00EF19D2">
        <w:tc>
          <w:tcPr>
            <w:tcW w:w="6629" w:type="dxa"/>
          </w:tcPr>
          <w:p w:rsidR="00773842" w:rsidRPr="00C71D98" w:rsidRDefault="00773842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42" w:rsidRPr="00C71D98" w:rsidRDefault="00773842" w:rsidP="00635E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635E3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635E3B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773842" w:rsidRPr="00C71D98" w:rsidRDefault="00773842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73842" w:rsidRPr="00C71D98" w:rsidRDefault="00773842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42" w:rsidRPr="00C71D98" w:rsidRDefault="00773842" w:rsidP="0077384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635E3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________/Булавин П.А./</w:t>
            </w:r>
          </w:p>
        </w:tc>
      </w:tr>
    </w:tbl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B0273B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3A9A">
        <w:rPr>
          <w:rFonts w:ascii="Times New Roman" w:hAnsi="Times New Roman" w:cs="Times New Roman"/>
          <w:b/>
          <w:sz w:val="28"/>
          <w:szCs w:val="28"/>
          <w:lang w:eastAsia="ru-RU"/>
        </w:rPr>
        <w:t>Тало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B0273B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E30F95" w:rsidRPr="009A1599" w:rsidTr="00EC2037">
        <w:tc>
          <w:tcPr>
            <w:tcW w:w="486" w:type="dxa"/>
            <w:vMerge w:val="restart"/>
          </w:tcPr>
          <w:p w:rsidR="00E30F95" w:rsidRPr="009A1599" w:rsidRDefault="00E30F95" w:rsidP="0037184B">
            <w:pPr>
              <w:jc w:val="center"/>
            </w:pPr>
            <w:r w:rsidRPr="009A1599">
              <w:t>№</w:t>
            </w:r>
          </w:p>
          <w:p w:rsidR="00E30F95" w:rsidRPr="009A1599" w:rsidRDefault="00E30F95" w:rsidP="0037184B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E30F95" w:rsidRDefault="00E30F95" w:rsidP="0037184B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E30F95" w:rsidRPr="009A1599" w:rsidRDefault="00E30F95" w:rsidP="0037184B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E30F95" w:rsidRDefault="00E30F95" w:rsidP="0037184B">
            <w:pPr>
              <w:jc w:val="center"/>
            </w:pPr>
            <w:r>
              <w:t>Категория</w:t>
            </w:r>
          </w:p>
          <w:p w:rsidR="00E30F95" w:rsidRPr="009A1599" w:rsidRDefault="00E30F95" w:rsidP="0037184B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E30F95" w:rsidRPr="009A1599" w:rsidRDefault="00E30F95" w:rsidP="0037184B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E30F95" w:rsidRPr="009A1599" w:rsidRDefault="00E30F95" w:rsidP="0037184B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E30F95" w:rsidRPr="009A1599" w:rsidRDefault="00E30F95" w:rsidP="0037184B">
            <w:pPr>
              <w:jc w:val="center"/>
            </w:pPr>
            <w:r>
              <w:t>в том числе</w:t>
            </w:r>
          </w:p>
        </w:tc>
        <w:tc>
          <w:tcPr>
            <w:tcW w:w="1842" w:type="dxa"/>
            <w:vMerge w:val="restart"/>
          </w:tcPr>
          <w:p w:rsidR="00E30F95" w:rsidRDefault="00E30F95" w:rsidP="00E30F95">
            <w:pPr>
              <w:jc w:val="center"/>
            </w:pPr>
            <w:r>
              <w:t xml:space="preserve">Мосты, </w:t>
            </w:r>
          </w:p>
          <w:p w:rsidR="00E30F95" w:rsidRPr="009A1599" w:rsidRDefault="00E30F95" w:rsidP="00E30F95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E30F95" w:rsidRPr="009A1599" w:rsidTr="00EC2037">
        <w:tc>
          <w:tcPr>
            <w:tcW w:w="486" w:type="dxa"/>
            <w:vMerge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1842" w:type="dxa"/>
          </w:tcPr>
          <w:p w:rsidR="00E30F95" w:rsidRPr="009A1599" w:rsidRDefault="00C43FCF" w:rsidP="0037184B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E30F95" w:rsidRPr="009A1599" w:rsidRDefault="00C43FCF" w:rsidP="0037184B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E30F95" w:rsidRPr="009A1599" w:rsidRDefault="00C43FCF" w:rsidP="0037184B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E30F95" w:rsidRPr="009A1599" w:rsidRDefault="00E30F95" w:rsidP="00455328">
            <w:pPr>
              <w:jc w:val="center"/>
            </w:pPr>
          </w:p>
        </w:tc>
      </w:tr>
      <w:tr w:rsidR="005116C7" w:rsidRPr="009A1599" w:rsidTr="00773842">
        <w:tc>
          <w:tcPr>
            <w:tcW w:w="15168" w:type="dxa"/>
            <w:gridSpan w:val="9"/>
          </w:tcPr>
          <w:p w:rsidR="005116C7" w:rsidRPr="009A1599" w:rsidRDefault="003F3A9A" w:rsidP="00B0273B">
            <w:pPr>
              <w:jc w:val="center"/>
            </w:pPr>
            <w:r>
              <w:t>Согласно Перечню</w:t>
            </w:r>
            <w:r w:rsidR="005116C7">
              <w:t xml:space="preserve"> «</w:t>
            </w:r>
            <w:r>
              <w:t xml:space="preserve">автомобильных </w:t>
            </w:r>
            <w:r w:rsidR="005116C7">
              <w:t xml:space="preserve">дорог </w:t>
            </w:r>
            <w:r>
              <w:t>общего пользования местного значения</w:t>
            </w:r>
            <w:r w:rsidR="00B0273B">
              <w:t xml:space="preserve">, расположенных на </w:t>
            </w:r>
            <w:proofErr w:type="spellStart"/>
            <w:r w:rsidR="00B0273B">
              <w:t>территоии</w:t>
            </w:r>
            <w:proofErr w:type="spellEnd"/>
            <w:r>
              <w:t xml:space="preserve"> </w:t>
            </w:r>
            <w:proofErr w:type="spellStart"/>
            <w:r>
              <w:t>Тало</w:t>
            </w:r>
            <w:r w:rsidR="005116C7">
              <w:t>вского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>
              <w:t>Тало</w:t>
            </w:r>
            <w:r w:rsidR="005116C7">
              <w:t>вского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 </w:t>
            </w:r>
            <w:r>
              <w:t>(</w:t>
            </w:r>
            <w:r w:rsidR="00B0273B">
              <w:t>четвертого</w:t>
            </w:r>
            <w:r>
              <w:t xml:space="preserve"> созыва) </w:t>
            </w:r>
            <w:r w:rsidR="00B0273B">
              <w:t>от 2</w:t>
            </w:r>
            <w:r>
              <w:t>2</w:t>
            </w:r>
            <w:r w:rsidR="005116C7">
              <w:t>.02.201</w:t>
            </w:r>
            <w:r w:rsidR="00B0273B">
              <w:t>9</w:t>
            </w:r>
            <w:r w:rsidR="005116C7">
              <w:t xml:space="preserve">г № </w:t>
            </w:r>
            <w:r w:rsidR="00B0273B">
              <w:t>16-46</w:t>
            </w: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Дальняя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проезд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«Центральная</w:t>
            </w:r>
            <w:proofErr w:type="gramStart"/>
            <w:r w:rsidRPr="00E30F95">
              <w:rPr>
                <w:color w:val="000000"/>
                <w:sz w:val="18"/>
                <w:szCs w:val="18"/>
              </w:rPr>
              <w:t>»-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«Заречная»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1</w:t>
            </w: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Таловка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переулок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Школьный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х. Березовый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Большие Турки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FF0000"/>
                <w:sz w:val="18"/>
                <w:szCs w:val="18"/>
              </w:rPr>
            </w:pPr>
            <w:r w:rsidRPr="00E30F9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Михайловка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Михайловка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8F381B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Михайловка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Новая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Михайловка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Михайловка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д. Николаевка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д. Николаевка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д. Николаевка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Орловка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8F381B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0F9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0F95">
              <w:rPr>
                <w:color w:val="000000"/>
                <w:sz w:val="18"/>
                <w:szCs w:val="18"/>
              </w:rPr>
              <w:t>. Орловка</w:t>
            </w:r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30F95">
              <w:rPr>
                <w:color w:val="000000"/>
                <w:sz w:val="18"/>
                <w:szCs w:val="18"/>
              </w:rPr>
              <w:t>Шумаковка</w:t>
            </w:r>
            <w:proofErr w:type="spellEnd"/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0F95">
              <w:rPr>
                <w:color w:val="000000"/>
                <w:sz w:val="18"/>
                <w:szCs w:val="18"/>
              </w:rPr>
              <w:t>Анютинская</w:t>
            </w:r>
            <w:proofErr w:type="spellEnd"/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 xml:space="preserve"> </w:t>
            </w:r>
          </w:p>
        </w:tc>
      </w:tr>
      <w:tr w:rsidR="00E30F95" w:rsidRPr="009A1599" w:rsidTr="00EC2037">
        <w:tc>
          <w:tcPr>
            <w:tcW w:w="486" w:type="dxa"/>
          </w:tcPr>
          <w:p w:rsidR="00E30F95" w:rsidRPr="009A1599" w:rsidRDefault="00E30F95" w:rsidP="00455328">
            <w:pPr>
              <w:jc w:val="center"/>
            </w:pPr>
          </w:p>
        </w:tc>
        <w:tc>
          <w:tcPr>
            <w:tcW w:w="2100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30F95">
              <w:rPr>
                <w:color w:val="000000"/>
                <w:sz w:val="18"/>
                <w:szCs w:val="18"/>
              </w:rPr>
              <w:t>Шумаковка</w:t>
            </w:r>
            <w:proofErr w:type="spellEnd"/>
          </w:p>
        </w:tc>
        <w:tc>
          <w:tcPr>
            <w:tcW w:w="1668" w:type="dxa"/>
          </w:tcPr>
          <w:p w:rsidR="00E30F95" w:rsidRPr="00175201" w:rsidRDefault="00E30F95" w:rsidP="008167B5">
            <w:pPr>
              <w:rPr>
                <w:sz w:val="24"/>
                <w:szCs w:val="24"/>
              </w:rPr>
            </w:pPr>
            <w:r w:rsidRPr="00175201"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1701" w:type="dxa"/>
          </w:tcPr>
          <w:p w:rsidR="00E30F95" w:rsidRPr="00E30F95" w:rsidRDefault="00E30F95">
            <w:pPr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Пушкинская</w:t>
            </w:r>
          </w:p>
        </w:tc>
        <w:tc>
          <w:tcPr>
            <w:tcW w:w="1701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842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3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E30F95" w:rsidRPr="00E30F95" w:rsidRDefault="00E30F95">
            <w:pPr>
              <w:jc w:val="center"/>
              <w:rPr>
                <w:color w:val="000000"/>
                <w:sz w:val="18"/>
                <w:szCs w:val="18"/>
              </w:rPr>
            </w:pPr>
            <w:r w:rsidRPr="00E30F9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E30F95" w:rsidRPr="00175201" w:rsidRDefault="00E30F95" w:rsidP="008167B5">
            <w:pPr>
              <w:jc w:val="center"/>
              <w:rPr>
                <w:sz w:val="24"/>
                <w:szCs w:val="24"/>
              </w:rPr>
            </w:pPr>
          </w:p>
        </w:tc>
      </w:tr>
      <w:tr w:rsidR="00686DA8" w:rsidRPr="00617C78" w:rsidTr="00CA6E3D">
        <w:tc>
          <w:tcPr>
            <w:tcW w:w="486" w:type="dxa"/>
          </w:tcPr>
          <w:p w:rsidR="00686DA8" w:rsidRPr="009A1599" w:rsidRDefault="00686DA8" w:rsidP="00455328">
            <w:pPr>
              <w:jc w:val="center"/>
            </w:pPr>
          </w:p>
        </w:tc>
        <w:tc>
          <w:tcPr>
            <w:tcW w:w="5469" w:type="dxa"/>
            <w:gridSpan w:val="3"/>
          </w:tcPr>
          <w:p w:rsidR="00686DA8" w:rsidRPr="00175201" w:rsidRDefault="00686DA8" w:rsidP="008167B5">
            <w:pPr>
              <w:rPr>
                <w:b/>
                <w:sz w:val="24"/>
                <w:szCs w:val="24"/>
              </w:rPr>
            </w:pPr>
          </w:p>
          <w:p w:rsidR="00686DA8" w:rsidRPr="00175201" w:rsidRDefault="00686DA8" w:rsidP="008167B5">
            <w:pPr>
              <w:rPr>
                <w:b/>
                <w:sz w:val="24"/>
                <w:szCs w:val="24"/>
              </w:rPr>
            </w:pPr>
            <w:r w:rsidRPr="00175201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b/>
                <w:sz w:val="24"/>
                <w:szCs w:val="24"/>
              </w:rPr>
              <w:t>Таловскому</w:t>
            </w:r>
            <w:proofErr w:type="spellEnd"/>
            <w:r>
              <w:rPr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</w:tcPr>
          <w:p w:rsidR="00686DA8" w:rsidRPr="00175201" w:rsidRDefault="00E30F95" w:rsidP="008167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842" w:type="dxa"/>
          </w:tcPr>
          <w:p w:rsidR="00686DA8" w:rsidRPr="00175201" w:rsidRDefault="00E30F95" w:rsidP="008167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686DA8" w:rsidRPr="00175201" w:rsidRDefault="00686DA8" w:rsidP="008167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6DA8" w:rsidRPr="00175201" w:rsidRDefault="00E30F95" w:rsidP="008167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842" w:type="dxa"/>
          </w:tcPr>
          <w:p w:rsidR="00686DA8" w:rsidRPr="00175201" w:rsidRDefault="00686DA8" w:rsidP="008167B5">
            <w:pPr>
              <w:jc w:val="center"/>
              <w:rPr>
                <w:b/>
                <w:sz w:val="24"/>
                <w:szCs w:val="24"/>
              </w:rPr>
            </w:pPr>
          </w:p>
          <w:p w:rsidR="00686DA8" w:rsidRPr="00175201" w:rsidRDefault="00686DA8" w:rsidP="008167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  <w:gridCol w:w="6945"/>
      </w:tblGrid>
      <w:tr w:rsidR="00686DA8" w:rsidRPr="00C71D98" w:rsidTr="00686DA8">
        <w:tc>
          <w:tcPr>
            <w:tcW w:w="6629" w:type="dxa"/>
          </w:tcPr>
          <w:p w:rsidR="00686DA8" w:rsidRPr="00C71D98" w:rsidRDefault="00E30F95" w:rsidP="00773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686DA8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686DA8" w:rsidRPr="00C71D98" w:rsidRDefault="00686DA8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86DA8" w:rsidRPr="00C71D98" w:rsidRDefault="00686DA8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86DA8" w:rsidRPr="00C71D98" w:rsidRDefault="00686DA8" w:rsidP="008167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86DA8" w:rsidRPr="00C71D98" w:rsidRDefault="00686DA8" w:rsidP="007738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DA8" w:rsidRPr="00C71D98" w:rsidTr="00686DA8">
        <w:tc>
          <w:tcPr>
            <w:tcW w:w="6629" w:type="dxa"/>
          </w:tcPr>
          <w:p w:rsidR="00686DA8" w:rsidRPr="00C71D98" w:rsidRDefault="00686DA8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A8" w:rsidRPr="00C71D98" w:rsidRDefault="00686DA8" w:rsidP="00E3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E30F95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30F95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</w:p>
        </w:tc>
        <w:tc>
          <w:tcPr>
            <w:tcW w:w="284" w:type="dxa"/>
          </w:tcPr>
          <w:p w:rsidR="00686DA8" w:rsidRPr="00C71D98" w:rsidRDefault="00686DA8" w:rsidP="0077384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86DA8" w:rsidRPr="00C71D98" w:rsidRDefault="00686DA8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A8" w:rsidRPr="00C71D98" w:rsidRDefault="00686DA8" w:rsidP="008167B5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E30F9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_______/Булавин П.А./</w:t>
            </w:r>
          </w:p>
        </w:tc>
        <w:tc>
          <w:tcPr>
            <w:tcW w:w="6945" w:type="dxa"/>
          </w:tcPr>
          <w:p w:rsidR="00686DA8" w:rsidRPr="00C71D98" w:rsidRDefault="00686DA8" w:rsidP="0077384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22154"/>
    <w:rsid w:val="000318B6"/>
    <w:rsid w:val="000378FC"/>
    <w:rsid w:val="00042DAA"/>
    <w:rsid w:val="00071F1D"/>
    <w:rsid w:val="00083421"/>
    <w:rsid w:val="0009359C"/>
    <w:rsid w:val="000F1C5F"/>
    <w:rsid w:val="00112C1D"/>
    <w:rsid w:val="00151038"/>
    <w:rsid w:val="0017043C"/>
    <w:rsid w:val="001846CA"/>
    <w:rsid w:val="001A388C"/>
    <w:rsid w:val="001C11DD"/>
    <w:rsid w:val="001C3FBB"/>
    <w:rsid w:val="001E1E37"/>
    <w:rsid w:val="00204809"/>
    <w:rsid w:val="00205B4C"/>
    <w:rsid w:val="00261527"/>
    <w:rsid w:val="002667DF"/>
    <w:rsid w:val="00272806"/>
    <w:rsid w:val="002757F2"/>
    <w:rsid w:val="00290B1C"/>
    <w:rsid w:val="002970DC"/>
    <w:rsid w:val="002A7C81"/>
    <w:rsid w:val="002B7CEF"/>
    <w:rsid w:val="002D43D2"/>
    <w:rsid w:val="002E3C3F"/>
    <w:rsid w:val="00327775"/>
    <w:rsid w:val="003312E7"/>
    <w:rsid w:val="00343B4B"/>
    <w:rsid w:val="00345DBE"/>
    <w:rsid w:val="00366D6A"/>
    <w:rsid w:val="00396CF1"/>
    <w:rsid w:val="003A7673"/>
    <w:rsid w:val="003A7845"/>
    <w:rsid w:val="003B1562"/>
    <w:rsid w:val="003B7D12"/>
    <w:rsid w:val="003C07E3"/>
    <w:rsid w:val="003C79FA"/>
    <w:rsid w:val="003E59CC"/>
    <w:rsid w:val="003F3A9A"/>
    <w:rsid w:val="003F6D15"/>
    <w:rsid w:val="00415EA8"/>
    <w:rsid w:val="0042638B"/>
    <w:rsid w:val="00433403"/>
    <w:rsid w:val="004353A4"/>
    <w:rsid w:val="0044670D"/>
    <w:rsid w:val="00447103"/>
    <w:rsid w:val="0045416D"/>
    <w:rsid w:val="00455328"/>
    <w:rsid w:val="00486C79"/>
    <w:rsid w:val="00491F0E"/>
    <w:rsid w:val="004A4D41"/>
    <w:rsid w:val="004B15CE"/>
    <w:rsid w:val="004B32BE"/>
    <w:rsid w:val="004B796F"/>
    <w:rsid w:val="004D2B32"/>
    <w:rsid w:val="004E323D"/>
    <w:rsid w:val="005116C7"/>
    <w:rsid w:val="00537A68"/>
    <w:rsid w:val="0054042A"/>
    <w:rsid w:val="0055203B"/>
    <w:rsid w:val="00555B73"/>
    <w:rsid w:val="00566BCD"/>
    <w:rsid w:val="00581D7B"/>
    <w:rsid w:val="00586B61"/>
    <w:rsid w:val="005A300C"/>
    <w:rsid w:val="005A3CD4"/>
    <w:rsid w:val="005A7E69"/>
    <w:rsid w:val="005C2D70"/>
    <w:rsid w:val="005C3926"/>
    <w:rsid w:val="005C4ED0"/>
    <w:rsid w:val="005E5696"/>
    <w:rsid w:val="005E5EFF"/>
    <w:rsid w:val="00602EE4"/>
    <w:rsid w:val="00604C11"/>
    <w:rsid w:val="00607E14"/>
    <w:rsid w:val="00616B3D"/>
    <w:rsid w:val="00617F9A"/>
    <w:rsid w:val="00635E3B"/>
    <w:rsid w:val="006423F0"/>
    <w:rsid w:val="00661CEB"/>
    <w:rsid w:val="00672333"/>
    <w:rsid w:val="006747C4"/>
    <w:rsid w:val="006858C5"/>
    <w:rsid w:val="00686DA8"/>
    <w:rsid w:val="006A1AA2"/>
    <w:rsid w:val="006B7BE4"/>
    <w:rsid w:val="006E29CF"/>
    <w:rsid w:val="007001DB"/>
    <w:rsid w:val="00705366"/>
    <w:rsid w:val="007069EC"/>
    <w:rsid w:val="00712C34"/>
    <w:rsid w:val="0071396C"/>
    <w:rsid w:val="00714A9C"/>
    <w:rsid w:val="00722D6B"/>
    <w:rsid w:val="00725F2A"/>
    <w:rsid w:val="00727300"/>
    <w:rsid w:val="007416EC"/>
    <w:rsid w:val="0074638B"/>
    <w:rsid w:val="0075634C"/>
    <w:rsid w:val="00763C90"/>
    <w:rsid w:val="00773842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27725"/>
    <w:rsid w:val="0083037E"/>
    <w:rsid w:val="00871D8D"/>
    <w:rsid w:val="00874630"/>
    <w:rsid w:val="00890305"/>
    <w:rsid w:val="008D6D39"/>
    <w:rsid w:val="008E3826"/>
    <w:rsid w:val="00902DF2"/>
    <w:rsid w:val="00905765"/>
    <w:rsid w:val="009120AB"/>
    <w:rsid w:val="00932C5F"/>
    <w:rsid w:val="00944B52"/>
    <w:rsid w:val="0094575F"/>
    <w:rsid w:val="0095731E"/>
    <w:rsid w:val="009636A5"/>
    <w:rsid w:val="00966691"/>
    <w:rsid w:val="00992915"/>
    <w:rsid w:val="00997EF8"/>
    <w:rsid w:val="009C28EC"/>
    <w:rsid w:val="009C3A9C"/>
    <w:rsid w:val="009D7AA1"/>
    <w:rsid w:val="009F4156"/>
    <w:rsid w:val="009F6714"/>
    <w:rsid w:val="009F6AD5"/>
    <w:rsid w:val="00A00562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1C19"/>
    <w:rsid w:val="00A74C71"/>
    <w:rsid w:val="00A86516"/>
    <w:rsid w:val="00AA4061"/>
    <w:rsid w:val="00AA5441"/>
    <w:rsid w:val="00AB626A"/>
    <w:rsid w:val="00AC283E"/>
    <w:rsid w:val="00AD6B5F"/>
    <w:rsid w:val="00AE5441"/>
    <w:rsid w:val="00AE6FB5"/>
    <w:rsid w:val="00AF1936"/>
    <w:rsid w:val="00AF5BE7"/>
    <w:rsid w:val="00B0273B"/>
    <w:rsid w:val="00B16214"/>
    <w:rsid w:val="00B23046"/>
    <w:rsid w:val="00B26ACD"/>
    <w:rsid w:val="00B4319F"/>
    <w:rsid w:val="00B53790"/>
    <w:rsid w:val="00B6364A"/>
    <w:rsid w:val="00B65DBF"/>
    <w:rsid w:val="00BA2B20"/>
    <w:rsid w:val="00BC2B45"/>
    <w:rsid w:val="00BC4C15"/>
    <w:rsid w:val="00BC74BA"/>
    <w:rsid w:val="00BC7CC7"/>
    <w:rsid w:val="00BE26D4"/>
    <w:rsid w:val="00BE3581"/>
    <w:rsid w:val="00BF2772"/>
    <w:rsid w:val="00C04076"/>
    <w:rsid w:val="00C04630"/>
    <w:rsid w:val="00C20E64"/>
    <w:rsid w:val="00C21A76"/>
    <w:rsid w:val="00C321A7"/>
    <w:rsid w:val="00C43FCF"/>
    <w:rsid w:val="00C61F5F"/>
    <w:rsid w:val="00C63FC8"/>
    <w:rsid w:val="00C71D98"/>
    <w:rsid w:val="00C756EA"/>
    <w:rsid w:val="00C7586A"/>
    <w:rsid w:val="00C80649"/>
    <w:rsid w:val="00C8490A"/>
    <w:rsid w:val="00CD5940"/>
    <w:rsid w:val="00CE062F"/>
    <w:rsid w:val="00CE4C1A"/>
    <w:rsid w:val="00D214DF"/>
    <w:rsid w:val="00D4766B"/>
    <w:rsid w:val="00D677BC"/>
    <w:rsid w:val="00D71BF8"/>
    <w:rsid w:val="00D856F1"/>
    <w:rsid w:val="00D86B44"/>
    <w:rsid w:val="00DA1648"/>
    <w:rsid w:val="00DA2961"/>
    <w:rsid w:val="00DA2A46"/>
    <w:rsid w:val="00DA7776"/>
    <w:rsid w:val="00DC4E4E"/>
    <w:rsid w:val="00DD68ED"/>
    <w:rsid w:val="00E14DEA"/>
    <w:rsid w:val="00E17C32"/>
    <w:rsid w:val="00E2384F"/>
    <w:rsid w:val="00E30F95"/>
    <w:rsid w:val="00E413B6"/>
    <w:rsid w:val="00E50EFA"/>
    <w:rsid w:val="00E8465C"/>
    <w:rsid w:val="00E9621A"/>
    <w:rsid w:val="00EC2037"/>
    <w:rsid w:val="00ED135B"/>
    <w:rsid w:val="00ED1BD4"/>
    <w:rsid w:val="00ED1E2E"/>
    <w:rsid w:val="00ED43A3"/>
    <w:rsid w:val="00ED71AD"/>
    <w:rsid w:val="00EE18D6"/>
    <w:rsid w:val="00EF19D2"/>
    <w:rsid w:val="00F223F6"/>
    <w:rsid w:val="00F41DB4"/>
    <w:rsid w:val="00F45532"/>
    <w:rsid w:val="00F765C0"/>
    <w:rsid w:val="00F8007B"/>
    <w:rsid w:val="00F87405"/>
    <w:rsid w:val="00FA30E4"/>
    <w:rsid w:val="00FB4F73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AB62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B626A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D7DE-5065-4B8A-B997-56DFB17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31</cp:revision>
  <cp:lastPrinted>2019-12-19T06:47:00Z</cp:lastPrinted>
  <dcterms:created xsi:type="dcterms:W3CDTF">2017-12-27T13:12:00Z</dcterms:created>
  <dcterms:modified xsi:type="dcterms:W3CDTF">2020-01-14T09:55:00Z</dcterms:modified>
</cp:coreProperties>
</file>